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64"/>
        <w:tblpPr w:horzAnchor="margin" w:tblpXSpec="left" w:vertAnchor="text" w:tblpY="252" w:leftFromText="180" w:topFromText="0" w:rightFromText="180" w:bottomFromText="0"/>
        <w:tblW w:w="0" w:type="auto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ook w:val="01E0" w:firstRow="1" w:lastRow="1" w:firstColumn="1" w:lastColumn="1" w:noHBand="0" w:noVBand="0"/>
      </w:tblPr>
      <w:tblGrid>
        <w:gridCol w:w="9573"/>
      </w:tblGrid>
      <w:tr>
        <w:trPr>
          <w:trHeight w:val="790"/>
        </w:trPr>
        <w:tc>
          <w:tcPr>
            <w:tcW w:w="9573" w:type="dxa"/>
            <w:textDirection w:val="lrTb"/>
            <w:noWrap w:val="false"/>
          </w:tcPr>
          <w:p>
            <w:pPr>
              <w:jc w:val="center"/>
              <w:rPr>
                <w:rFonts w:eastAsia="Times New Roman"/>
                <w:b/>
                <w:bCs/>
                <w:iCs/>
              </w:rPr>
            </w:pPr>
            <w:r>
              <w:rPr>
                <w:rFonts w:ascii="Arial" w:hAnsi="Arial" w:cs="Arial" w:eastAsiaTheme="minorHAnsi"/>
                <w:b/>
                <w:i/>
                <w:sz w:val="18"/>
                <w:szCs w:val="18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18847" cy="614824"/>
                      <wp:effectExtent l="19050" t="0" r="0" b="0"/>
                      <wp:docPr id="1" name="Рисунок 3" descr="C:\Users\n.didenko\Desktop\Бланки новые\БЛАНКИ - 2020 год\герб_1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n.didenko\Desktop\Бланки новые\БЛАНКИ - 2020 год\герб_1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18847" cy="614824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0.9pt;height:48.4pt;" stroked="f" strokeweight="0.75pt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>
              <w:rPr>
                <w:rFonts w:eastAsiaTheme="minorHAnsi"/>
              </w:rPr>
            </w:r>
          </w:p>
          <w:tbl>
            <w:tblPr>
              <w:tblStyle w:val="864"/>
              <w:tblpPr w:horzAnchor="margin" w:tblpXSpec="left" w:vertAnchor="text" w:tblpY="252" w:leftFromText="180" w:topFromText="0" w:rightFromText="180" w:bottomFromText="0"/>
              <w:tblW w:w="0" w:type="auto"/>
              <w:tblBorders>
                <w:left w:val="none" w:sz="0" w:space="0" w:color="auto"/>
                <w:top w:val="none" w:sz="0" w:space="0" w:color="auto"/>
                <w:right w:val="none" w:sz="0" w:space="0" w:color="auto"/>
                <w:bottom w:val="none" w:sz="0" w:space="0" w:color="auto"/>
                <w:insideV w:val="none" w:sz="0" w:space="0" w:color="auto"/>
                <w:insideH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9357"/>
            </w:tblGrid>
            <w:tr>
              <w:trPr>
                <w:trHeight w:val="790"/>
              </w:trPr>
              <w:tc>
                <w:tcPr>
                  <w:tcW w:w="9573" w:type="dxa"/>
                  <w:textDirection w:val="lrTb"/>
                  <w:noWrap w:val="false"/>
                </w:tcPr>
                <w:p>
                  <w:pPr>
                    <w:jc w:val="center"/>
                    <w:spacing w:lineRule="auto" w:line="276"/>
                    <w:tabs>
                      <w:tab w:val="left" w:pos="1650" w:leader="none"/>
                      <w:tab w:val="center" w:pos="4784" w:leader="none"/>
                    </w:tabs>
                    <w:rPr>
                      <w:b/>
                      <w:spacing w:val="20"/>
                      <w:sz w:val="28"/>
                      <w:szCs w:val="28"/>
                    </w:rPr>
                  </w:pPr>
                  <w:r>
                    <w:rPr>
                      <w:b/>
                      <w:sz w:val="26"/>
                      <w:szCs w:val="26"/>
                    </w:rPr>
                    <mc:AlternateContent>
                      <mc:Choice Requires="wpg">
                        <w:drawing>
                          <wp:anchor xmlns:wp="http://schemas.openxmlformats.org/drawingml/2006/wordprocessingDrawing" distT="0" distB="0" distL="114300" distR="114300" simplePos="0" relativeHeight="251661312" behindDoc="0" locked="0" layoutInCell="1" allowOverlap="1">
                            <wp:simplePos x="0" y="0"/>
                            <wp:positionH relativeFrom="column">
                              <wp:posOffset>5634990</wp:posOffset>
                            </wp:positionH>
                            <wp:positionV relativeFrom="paragraph">
                              <wp:posOffset>147955</wp:posOffset>
                            </wp:positionV>
                            <wp:extent cx="390525" cy="258445"/>
                            <wp:effectExtent l="0" t="0" r="9525" b="8255"/>
                            <wp:wrapNone/>
                            <wp:docPr id="2" name="Поле 2" hidden="0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390525" cy="25844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>
                                        <w:r/>
                                        <w:r/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shape 1" o:spid="_x0000_s1" o:spt="1" style="position:absolute;mso-wrap-distance-left:9.0pt;mso-wrap-distance-top:0.0pt;mso-wrap-distance-right:9.0pt;mso-wrap-distance-bottom:0.0pt;z-index:251661312;o:allowoverlap:true;o:allowincell:true;mso-position-horizontal-relative:text;margin-left:443.7pt;mso-position-horizontal:absolute;mso-position-vertical-relative:text;margin-top:11.6pt;mso-position-vertical:absolute;width:30.8pt;height:20.3pt;v-text-anchor:top;" coordsize="100000,100000" path="" fillcolor="#FFFFFF" stroked="f">
                            <v:path textboxrect="0,0,0,0"/>
                            <v:textbox>
                              <w:txbxContent>
                                <w:p>
                                  <w:r/>
                                  <w:r/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b/>
                      <w:spacing w:val="20"/>
                      <w:sz w:val="28"/>
                      <w:szCs w:val="28"/>
                    </w:rPr>
                    <w:t xml:space="preserve">РОССИЙСКАЯ ФЕДЕРАЦИЯ</w:t>
                  </w:r>
                  <w:r/>
                </w:p>
                <w:p>
                  <w:pPr>
                    <w:jc w:val="center"/>
                    <w:spacing w:lineRule="auto" w:line="276"/>
                    <w:rPr>
                      <w:b/>
                      <w:spacing w:val="20"/>
                      <w:sz w:val="28"/>
                      <w:szCs w:val="28"/>
                    </w:rPr>
                  </w:pPr>
                  <w:r>
                    <w:rPr>
                      <w:b/>
                      <w:spacing w:val="20"/>
                      <w:sz w:val="28"/>
                      <w:szCs w:val="28"/>
                    </w:rPr>
                    <w:t xml:space="preserve">БЕЛГОРОДСКАЯ ОБЛАСТЬ</w:t>
                  </w:r>
                  <w:r/>
                </w:p>
                <w:p>
                  <w:pPr>
                    <w:jc w:val="center"/>
                    <w:widowControl/>
                    <w:rPr>
                      <w:rFonts w:eastAsia="Times New Roman"/>
                      <w:b/>
                      <w:sz w:val="28"/>
                      <w:szCs w:val="28"/>
                    </w:rPr>
                  </w:pPr>
                  <w:r>
                    <w:rPr>
                      <w:rFonts w:eastAsia="Times New Roman"/>
                      <w:b/>
                      <w:sz w:val="28"/>
                      <w:szCs w:val="28"/>
                    </w:rPr>
                  </w:r>
                  <w:r/>
                </w:p>
                <w:p>
                  <w:pPr>
                    <w:jc w:val="center"/>
                    <w:widowControl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 xml:space="preserve">ПРЕДСЕДАТЕЛЬ СОВЕТА ДЕПУТАТОВ</w:t>
                  </w:r>
                  <w:r/>
                </w:p>
                <w:p>
                  <w:pPr>
                    <w:jc w:val="center"/>
                    <w:widowControl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 xml:space="preserve">НОВООСКОЛЬСКОГО  МУНИЦИПАЛЬНОГО ОКРУГА</w:t>
                  </w:r>
                  <w:r/>
                </w:p>
                <w:p>
                  <w:pPr>
                    <w:jc w:val="center"/>
                    <w:widowControl/>
                    <w:rPr>
                      <w:rFonts w:eastAsia="Times New Roman"/>
                      <w:b/>
                    </w:rPr>
                  </w:pPr>
                  <w:r>
                    <w:rPr>
                      <w:rFonts w:eastAsia="Times New Roman"/>
                      <w:b/>
                    </w:rPr>
                    <w:t xml:space="preserve">БЕЛГОРОДСКОЙ ОБЛАСТИ</w:t>
                  </w:r>
                  <w:r/>
                </w:p>
                <w:p>
                  <w:pPr>
                    <w:jc w:val="center"/>
                    <w:widowControl/>
                    <w:rPr>
                      <w:rFonts w:eastAsia="Times New Roman"/>
                      <w:b/>
                      <w:sz w:val="28"/>
                      <w:szCs w:val="28"/>
                    </w:rPr>
                  </w:pPr>
                  <w:r>
                    <w:rPr>
                      <w:rFonts w:eastAsia="Times New Roman"/>
                      <w:b/>
                      <w:sz w:val="28"/>
                      <w:szCs w:val="28"/>
                    </w:rPr>
                  </w:r>
                  <w:r/>
                </w:p>
                <w:p>
                  <w:pPr>
                    <w:jc w:val="center"/>
                    <w:spacing w:lineRule="exact" w:line="39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Р</w:t>
                  </w:r>
                  <w:r>
                    <w:rPr>
                      <w:b/>
                      <w:sz w:val="28"/>
                      <w:szCs w:val="28"/>
                    </w:rPr>
                    <w:t xml:space="preserve"> А С П О Р Я Ж Е Н И Е</w:t>
                  </w:r>
                  <w:r/>
                </w:p>
                <w:p>
                  <w:pPr>
                    <w:jc w:val="center"/>
                    <w:widowControl/>
                    <w:rPr>
                      <w:rFonts w:eastAsia="Times New Roman"/>
                      <w:b/>
                      <w:spacing w:val="20"/>
                      <w:sz w:val="28"/>
                      <w:szCs w:val="28"/>
                    </w:rPr>
                  </w:pPr>
                  <w:r>
                    <w:rPr>
                      <w:rFonts w:eastAsia="Times New Roman"/>
                      <w:b/>
                      <w:spacing w:val="20"/>
                      <w:sz w:val="28"/>
                      <w:szCs w:val="28"/>
                    </w:rPr>
                  </w:r>
                  <w:r/>
                </w:p>
              </w:tc>
            </w:tr>
          </w:tbl>
          <w:p>
            <w:pPr>
              <w:pStyle w:val="863"/>
              <w:ind w:left="0"/>
              <w:jc w:val="center"/>
              <w:shd w:val="clear" w:fill="auto" w:color="auto"/>
              <w:rPr>
                <w:color w:val="auto"/>
                <w:spacing w:val="20"/>
                <w:sz w:val="16"/>
                <w:szCs w:val="16"/>
              </w:rPr>
            </w:pPr>
            <w:r>
              <w:rPr>
                <w:rFonts w:eastAsiaTheme="minorHAnsi"/>
                <w:color w:val="auto"/>
                <w:spacing w:val="20"/>
                <w:sz w:val="16"/>
                <w:szCs w:val="16"/>
              </w:rPr>
            </w:r>
            <w:r>
              <w:rPr>
                <w:rFonts w:eastAsiaTheme="minorHAnsi"/>
              </w:rPr>
            </w:r>
          </w:p>
        </w:tc>
      </w:tr>
    </w:tbl>
    <w:p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28 августа</w:t>
      </w:r>
      <w:r>
        <w:rPr>
          <w:sz w:val="26"/>
          <w:szCs w:val="26"/>
        </w:rPr>
        <w:t xml:space="preserve"> 2026 года                                                                       </w:t>
      </w:r>
      <w:r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                 № </w:t>
      </w:r>
      <w:r>
        <w:rPr>
          <w:sz w:val="26"/>
          <w:szCs w:val="26"/>
        </w:rPr>
        <w:t xml:space="preserve">34</w:t>
      </w:r>
      <w:r>
        <w:rPr>
          <w:sz w:val="26"/>
          <w:szCs w:val="26"/>
        </w:rPr>
        <w:t xml:space="preserve">-р</w:t>
      </w:r>
      <w:r/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jc w:val="both"/>
        <w:rPr>
          <w:sz w:val="26"/>
          <w:szCs w:val="26"/>
        </w:rPr>
      </w:pPr>
      <w:r>
        <w:rPr>
          <w:sz w:val="26"/>
          <w:szCs w:val="26"/>
        </w:rPr>
      </w:r>
      <w:r/>
    </w:p>
    <w:p>
      <w:pPr>
        <w:rPr>
          <w:sz w:val="26"/>
          <w:szCs w:val="26"/>
        </w:rPr>
      </w:pPr>
      <w:r>
        <w:rPr>
          <w:sz w:val="26"/>
          <w:szCs w:val="26"/>
        </w:rPr>
      </w:r>
      <w:r/>
    </w:p>
    <w:tbl>
      <w:tblPr>
        <w:tblStyle w:val="864"/>
        <w:tblW w:w="9995" w:type="dxa"/>
        <w:tblBorders>
          <w:left w:val="none" w:sz="0" w:space="0" w:color="auto"/>
          <w:top w:val="none" w:sz="0" w:space="0" w:color="auto"/>
          <w:right w:val="none" w:sz="0" w:space="0" w:color="auto"/>
          <w:bottom w:val="none" w:sz="0" w:space="0" w:color="auto"/>
          <w:insideV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067"/>
      </w:tblGrid>
      <w:tr>
        <w:trPr/>
        <w:tc>
          <w:tcPr>
            <w:tcW w:w="4928" w:type="dxa"/>
            <w:textDirection w:val="lrTb"/>
            <w:noWrap w:val="false"/>
          </w:tcPr>
          <w:p>
            <w:pPr>
              <w:shd w:val="clear" w:fill="FFFFFF" w:color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назначении  публичных слушаний</w:t>
            </w:r>
            <w:r/>
          </w:p>
          <w:p>
            <w:pPr>
              <w:shd w:val="clear" w:fill="FFFFFF" w:color="auto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</w:r>
            <w:r/>
          </w:p>
        </w:tc>
        <w:tc>
          <w:tcPr>
            <w:tcW w:w="5067" w:type="dxa"/>
            <w:textDirection w:val="lrTb"/>
            <w:noWrap w:val="false"/>
          </w:tcPr>
          <w:p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  <w:r/>
          </w:p>
        </w:tc>
      </w:tr>
    </w:tbl>
    <w:p>
      <w:pPr>
        <w:jc w:val="both"/>
        <w:spacing w:lineRule="auto" w:line="192"/>
        <w:shd w:val="clear" w:fill="FFFFFF" w:color="auto"/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jc w:val="both"/>
        <w:spacing w:lineRule="auto" w:line="192"/>
        <w:shd w:val="clear" w:fill="FFFFFF" w:color="auto"/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jc w:val="both"/>
        <w:spacing w:lineRule="auto" w:line="192"/>
        <w:shd w:val="clear" w:fill="FFFFFF" w:color="auto"/>
        <w:rPr>
          <w:b/>
          <w:sz w:val="26"/>
          <w:szCs w:val="26"/>
        </w:rPr>
      </w:pPr>
      <w:r>
        <w:rPr>
          <w:b/>
          <w:sz w:val="26"/>
          <w:szCs w:val="26"/>
        </w:rPr>
      </w:r>
      <w:r/>
    </w:p>
    <w:p>
      <w:pPr>
        <w:ind w:right="-6" w:firstLine="540"/>
        <w:jc w:val="both"/>
        <w:tabs>
          <w:tab w:val="left" w:pos="9180" w:leader="none"/>
        </w:tabs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В соответствии с Градостроительным кодексом Российской Федерации, Федеральным законом от 06 октября 2003 года № 131-ФЗ «Об общих принципах организации местного самоуправлени</w:t>
      </w:r>
      <w:r>
        <w:rPr>
          <w:rFonts w:eastAsia="Times New Roman"/>
          <w:sz w:val="26"/>
          <w:szCs w:val="26"/>
        </w:rPr>
        <w:t xml:space="preserve">я в Российской Федерации», решением Совета    депутатов Новооскольского муниципального округа Белгородской области                 от 24 декабря 2024 года № 262 «Об утверждении Порядка организации и проведения публичных слушаний, общественных обсуждений в </w:t>
      </w:r>
      <w:r>
        <w:rPr>
          <w:rFonts w:eastAsia="Times New Roman"/>
          <w:sz w:val="26"/>
          <w:szCs w:val="26"/>
        </w:rPr>
        <w:t xml:space="preserve">Новооскольском</w:t>
      </w:r>
      <w:r>
        <w:rPr>
          <w:rFonts w:eastAsia="Times New Roman"/>
          <w:sz w:val="26"/>
          <w:szCs w:val="26"/>
        </w:rPr>
        <w:t xml:space="preserve"> муниципальном округе Белгородской области»:</w:t>
      </w:r>
      <w:r/>
    </w:p>
    <w:p>
      <w:pPr>
        <w:ind w:firstLine="708"/>
        <w:jc w:val="both"/>
        <w:rPr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1. </w:t>
      </w:r>
      <w:r>
        <w:rPr>
          <w:rFonts w:eastAsia="Times New Roman"/>
          <w:sz w:val="26"/>
          <w:szCs w:val="26"/>
        </w:rPr>
        <w:t xml:space="preserve">Провести </w:t>
      </w:r>
      <w:r>
        <w:rPr>
          <w:rFonts w:eastAsia="Times New Roman"/>
          <w:sz w:val="26"/>
          <w:szCs w:val="26"/>
        </w:rPr>
        <w:t xml:space="preserve">1</w:t>
      </w:r>
      <w:r>
        <w:rPr>
          <w:rFonts w:eastAsia="Times New Roman"/>
          <w:sz w:val="26"/>
          <w:szCs w:val="26"/>
        </w:rPr>
        <w:t xml:space="preserve">5</w:t>
      </w:r>
      <w:r>
        <w:rPr>
          <w:rFonts w:eastAsia="Times New Roman"/>
          <w:sz w:val="26"/>
          <w:szCs w:val="26"/>
        </w:rPr>
        <w:t xml:space="preserve"> сентября</w:t>
      </w:r>
      <w:r>
        <w:rPr>
          <w:rFonts w:eastAsia="Times New Roman"/>
          <w:sz w:val="26"/>
          <w:szCs w:val="26"/>
        </w:rPr>
        <w:t xml:space="preserve"> 2026 года в 10</w:t>
      </w:r>
      <w:r>
        <w:rPr>
          <w:rFonts w:eastAsia="Times New Roman"/>
          <w:sz w:val="26"/>
          <w:szCs w:val="26"/>
          <w:vertAlign w:val="superscript"/>
        </w:rPr>
        <w:t xml:space="preserve">0</w:t>
      </w:r>
      <w:r>
        <w:rPr>
          <w:rFonts w:eastAsia="Times New Roman"/>
          <w:sz w:val="26"/>
          <w:szCs w:val="26"/>
          <w:vertAlign w:val="superscript"/>
        </w:rPr>
        <w:t xml:space="preserve">0</w:t>
      </w:r>
      <w:r>
        <w:rPr>
          <w:rFonts w:eastAsia="Times New Roman"/>
          <w:sz w:val="26"/>
          <w:szCs w:val="26"/>
        </w:rPr>
        <w:t xml:space="preserve"> часов в читальном зале</w:t>
      </w:r>
      <w:r>
        <w:rPr>
          <w:rFonts w:eastAsia="Times New Roman"/>
          <w:spacing w:val="4"/>
          <w:sz w:val="26"/>
          <w:szCs w:val="26"/>
        </w:rPr>
        <w:t xml:space="preserve"> </w:t>
      </w:r>
      <w:r>
        <w:rPr>
          <w:rFonts w:eastAsia="Times New Roman"/>
          <w:spacing w:val="4"/>
          <w:sz w:val="26"/>
          <w:szCs w:val="26"/>
        </w:rPr>
        <w:t xml:space="preserve">МБУК</w:t>
      </w:r>
      <w:r>
        <w:rPr>
          <w:rFonts w:eastAsia="Times New Roman"/>
          <w:spacing w:val="4"/>
          <w:sz w:val="26"/>
          <w:szCs w:val="26"/>
        </w:rPr>
        <w:t xml:space="preserve"> «Центральная библиотека Новооскольского муниципального округа» публичные слушания </w:t>
      </w:r>
      <w:r>
        <w:rPr>
          <w:sz w:val="26"/>
          <w:szCs w:val="26"/>
        </w:rPr>
        <w:t xml:space="preserve">по вопросу предоставления разрешения на условно разрешенный вид использования земельн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участк</w:t>
      </w:r>
      <w:r>
        <w:rPr>
          <w:sz w:val="26"/>
          <w:szCs w:val="26"/>
        </w:rPr>
        <w:t xml:space="preserve">а</w:t>
      </w:r>
      <w:r>
        <w:rPr>
          <w:sz w:val="26"/>
          <w:szCs w:val="26"/>
        </w:rPr>
        <w:t xml:space="preserve">, расположенн</w:t>
      </w:r>
      <w:r>
        <w:rPr>
          <w:sz w:val="26"/>
          <w:szCs w:val="26"/>
        </w:rPr>
        <w:t xml:space="preserve">ого</w:t>
      </w:r>
      <w:r>
        <w:rPr>
          <w:sz w:val="26"/>
          <w:szCs w:val="26"/>
        </w:rPr>
        <w:t xml:space="preserve"> в зоне </w:t>
      </w:r>
      <w:r>
        <w:rPr>
          <w:sz w:val="26"/>
          <w:szCs w:val="26"/>
        </w:rPr>
        <w:t xml:space="preserve">ОД-2</w:t>
      </w:r>
      <w:r>
        <w:rPr>
          <w:sz w:val="26"/>
          <w:szCs w:val="26"/>
        </w:rPr>
        <w:t xml:space="preserve"> (условно разрешенный вид использования – «</w:t>
      </w:r>
      <w:r>
        <w:rPr>
          <w:sz w:val="26"/>
          <w:szCs w:val="26"/>
        </w:rPr>
        <w:t xml:space="preserve">Общежития</w:t>
      </w:r>
      <w:r>
        <w:rPr>
          <w:sz w:val="26"/>
          <w:szCs w:val="26"/>
        </w:rPr>
        <w:t xml:space="preserve">», код вида </w:t>
      </w:r>
      <w:r>
        <w:rPr>
          <w:sz w:val="26"/>
          <w:szCs w:val="26"/>
        </w:rPr>
        <w:t xml:space="preserve">3.2.4</w:t>
      </w:r>
      <w:r>
        <w:rPr>
          <w:sz w:val="26"/>
          <w:szCs w:val="26"/>
        </w:rPr>
        <w:t xml:space="preserve">, кадастровы</w:t>
      </w:r>
      <w:r>
        <w:rPr>
          <w:sz w:val="26"/>
          <w:szCs w:val="26"/>
        </w:rPr>
        <w:t xml:space="preserve">й</w:t>
      </w:r>
      <w:r>
        <w:rPr>
          <w:sz w:val="26"/>
          <w:szCs w:val="26"/>
        </w:rPr>
        <w:t xml:space="preserve"> номер 31:19:</w:t>
      </w:r>
      <w:r>
        <w:rPr>
          <w:sz w:val="26"/>
          <w:szCs w:val="26"/>
        </w:rPr>
        <w:t xml:space="preserve">0407002:39</w:t>
      </w:r>
      <w:r>
        <w:rPr>
          <w:sz w:val="26"/>
          <w:szCs w:val="26"/>
        </w:rPr>
        <w:t xml:space="preserve">)</w:t>
      </w:r>
      <w:r>
        <w:rPr>
          <w:sz w:val="26"/>
          <w:szCs w:val="26"/>
        </w:rPr>
        <w:t xml:space="preserve">, по адресу: </w:t>
      </w:r>
      <w:r>
        <w:rPr>
          <w:sz w:val="26"/>
          <w:szCs w:val="26"/>
        </w:rPr>
        <w:t xml:space="preserve">обл. Белгородская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р-н </w:t>
      </w:r>
      <w:r>
        <w:rPr>
          <w:sz w:val="26"/>
          <w:szCs w:val="26"/>
        </w:rPr>
        <w:t xml:space="preserve">Новооскольский</w:t>
      </w:r>
      <w:r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с. </w:t>
      </w:r>
      <w:r>
        <w:rPr>
          <w:sz w:val="26"/>
          <w:szCs w:val="26"/>
        </w:rPr>
        <w:t xml:space="preserve">Голубино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</w:t>
      </w:r>
      <w:r>
        <w:rPr>
          <w:sz w:val="26"/>
          <w:szCs w:val="26"/>
        </w:rPr>
        <w:t xml:space="preserve">общежития</w:t>
      </w:r>
      <w:r>
        <w:rPr>
          <w:sz w:val="26"/>
          <w:szCs w:val="26"/>
        </w:rPr>
        <w:t xml:space="preserve">.</w:t>
      </w:r>
      <w:r/>
    </w:p>
    <w:p>
      <w:pPr>
        <w:ind w:right="-6" w:firstLine="540"/>
        <w:jc w:val="both"/>
        <w:tabs>
          <w:tab w:val="left" w:pos="9180" w:leader="none"/>
        </w:tabs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2. Установить, что:</w:t>
      </w:r>
      <w:r/>
    </w:p>
    <w:p>
      <w:pPr>
        <w:ind w:right="-6" w:firstLine="540"/>
        <w:jc w:val="both"/>
        <w:tabs>
          <w:tab w:val="left" w:pos="9180" w:leader="none"/>
        </w:tabs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2.1. Инициатором проведения публичных слушаний является </w:t>
      </w:r>
      <w:r>
        <w:rPr>
          <w:rFonts w:eastAsia="Times New Roman"/>
          <w:sz w:val="26"/>
          <w:szCs w:val="26"/>
        </w:rPr>
        <w:t xml:space="preserve">А</w:t>
      </w:r>
      <w:r>
        <w:rPr>
          <w:rFonts w:eastAsia="Times New Roman"/>
          <w:sz w:val="26"/>
          <w:szCs w:val="26"/>
        </w:rPr>
        <w:t xml:space="preserve">дминистрация Новооскольского муниципального округа в лице отдела архитектуры и территориального планирования управления капитального строительства и архитектуры Администрации Новооскольского муниципального округа. </w:t>
      </w:r>
      <w:r/>
    </w:p>
    <w:p>
      <w:pPr>
        <w:ind w:right="-6" w:firstLine="540"/>
        <w:jc w:val="both"/>
        <w:tabs>
          <w:tab w:val="left" w:pos="9180" w:leader="none"/>
        </w:tabs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2.2. Организатором публичных слушаний является комиссия по Правилам землепользования и застройки при Администрации Новооскольского муниципального округа, утверждённая постановлением администр</w:t>
      </w:r>
      <w:r>
        <w:rPr>
          <w:rFonts w:eastAsia="Times New Roman"/>
          <w:sz w:val="26"/>
          <w:szCs w:val="26"/>
        </w:rPr>
        <w:t xml:space="preserve">ации Новооскольского муниципального округа от 07 ноября 2024 года № 578                   «Об утверждении состава и положения о комиссии по Правилам землепользования и застройки при администрации Новооскольского муниципального округа Белгородской области».</w:t>
      </w:r>
      <w:r/>
    </w:p>
    <w:p>
      <w:pPr>
        <w:ind w:firstLine="708"/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3. </w:t>
      </w:r>
      <w:r>
        <w:rPr>
          <w:rFonts w:eastAsia="Times New Roman"/>
          <w:sz w:val="26"/>
          <w:szCs w:val="26"/>
        </w:rPr>
        <w:t xml:space="preserve">Письменные предложения </w:t>
      </w:r>
      <w:r>
        <w:rPr>
          <w:sz w:val="26"/>
          <w:szCs w:val="26"/>
        </w:rPr>
        <w:t xml:space="preserve">по вопросу предоставления разрешения </w:t>
      </w:r>
      <w:r>
        <w:rPr>
          <w:sz w:val="26"/>
          <w:szCs w:val="26"/>
        </w:rPr>
        <w:t xml:space="preserve">                        </w:t>
      </w:r>
      <w:r>
        <w:rPr>
          <w:sz w:val="26"/>
          <w:szCs w:val="26"/>
        </w:rPr>
        <w:t xml:space="preserve">на условно разрешенный вид использования земельного участка, расположенного </w:t>
      </w:r>
      <w:r>
        <w:rPr>
          <w:sz w:val="26"/>
          <w:szCs w:val="26"/>
        </w:rPr>
        <w:t xml:space="preserve">               </w:t>
      </w:r>
      <w:r>
        <w:rPr>
          <w:sz w:val="26"/>
          <w:szCs w:val="26"/>
        </w:rPr>
        <w:t xml:space="preserve">в зоне </w:t>
      </w:r>
      <w:r>
        <w:rPr>
          <w:sz w:val="26"/>
          <w:szCs w:val="26"/>
        </w:rPr>
        <w:t xml:space="preserve">ОД-2 (условно разрешенный вид использования – «Общежития», </w:t>
      </w:r>
      <w:r>
        <w:rPr>
          <w:sz w:val="26"/>
          <w:szCs w:val="26"/>
        </w:rPr>
        <w:t xml:space="preserve">                      </w:t>
      </w:r>
      <w:r>
        <w:rPr>
          <w:sz w:val="26"/>
          <w:szCs w:val="26"/>
        </w:rPr>
        <w:t xml:space="preserve">код вида 3.2.4, кадастровый номер 31:19:0407002:39), по адресу: обл. Белгородская, </w:t>
      </w:r>
      <w:r>
        <w:rPr>
          <w:sz w:val="26"/>
          <w:szCs w:val="26"/>
        </w:rPr>
        <w:t xml:space="preserve">                                   </w:t>
      </w:r>
      <w:r>
        <w:rPr>
          <w:sz w:val="26"/>
          <w:szCs w:val="26"/>
        </w:rPr>
        <w:t xml:space="preserve">р-н </w:t>
      </w:r>
      <w:r>
        <w:rPr>
          <w:sz w:val="26"/>
          <w:szCs w:val="26"/>
        </w:rPr>
        <w:t xml:space="preserve">Новооскольский</w:t>
      </w:r>
      <w:r>
        <w:rPr>
          <w:sz w:val="26"/>
          <w:szCs w:val="26"/>
        </w:rPr>
        <w:t xml:space="preserve">, с. </w:t>
      </w:r>
      <w:r>
        <w:rPr>
          <w:sz w:val="26"/>
          <w:szCs w:val="26"/>
        </w:rPr>
        <w:t xml:space="preserve">Голубино</w:t>
      </w:r>
      <w:r>
        <w:rPr>
          <w:sz w:val="26"/>
          <w:szCs w:val="26"/>
        </w:rPr>
        <w:t xml:space="preserve"> для общежития</w:t>
      </w:r>
      <w:r>
        <w:rPr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направляются в комиссию ежедневно в рабочие дни с 8</w:t>
      </w:r>
      <w:r>
        <w:rPr>
          <w:rFonts w:eastAsia="Times New Roman"/>
          <w:sz w:val="26"/>
          <w:szCs w:val="26"/>
          <w:vertAlign w:val="superscript"/>
        </w:rPr>
        <w:t xml:space="preserve">00</w:t>
      </w:r>
      <w:r>
        <w:rPr>
          <w:rFonts w:eastAsia="Times New Roman"/>
          <w:sz w:val="26"/>
          <w:szCs w:val="26"/>
        </w:rPr>
        <w:t xml:space="preserve"> часов до 12</w:t>
      </w:r>
      <w:r>
        <w:rPr>
          <w:rFonts w:eastAsia="Times New Roman"/>
          <w:sz w:val="26"/>
          <w:szCs w:val="26"/>
          <w:vertAlign w:val="superscript"/>
        </w:rPr>
        <w:t xml:space="preserve">00</w:t>
      </w:r>
      <w:r>
        <w:rPr>
          <w:rFonts w:eastAsia="Times New Roman"/>
          <w:sz w:val="26"/>
          <w:szCs w:val="26"/>
        </w:rPr>
        <w:t xml:space="preserve"> часов и с 13</w:t>
      </w:r>
      <w:r>
        <w:rPr>
          <w:rFonts w:eastAsia="Times New Roman"/>
          <w:sz w:val="26"/>
          <w:szCs w:val="26"/>
          <w:vertAlign w:val="superscript"/>
        </w:rPr>
        <w:t xml:space="preserve">00</w:t>
      </w:r>
      <w:r>
        <w:rPr>
          <w:rFonts w:eastAsia="Times New Roman"/>
          <w:sz w:val="26"/>
          <w:szCs w:val="26"/>
        </w:rPr>
        <w:t xml:space="preserve"> часов до 17</w:t>
      </w:r>
      <w:r>
        <w:rPr>
          <w:rFonts w:eastAsia="Times New Roman"/>
          <w:sz w:val="26"/>
          <w:szCs w:val="26"/>
          <w:vertAlign w:val="superscript"/>
        </w:rPr>
        <w:t xml:space="preserve">00</w:t>
      </w:r>
      <w:r>
        <w:rPr>
          <w:rFonts w:eastAsia="Times New Roman"/>
          <w:sz w:val="26"/>
          <w:szCs w:val="26"/>
        </w:rPr>
        <w:t xml:space="preserve"> часов </w:t>
      </w:r>
      <w:r>
        <w:rPr>
          <w:rFonts w:eastAsia="Times New Roman"/>
          <w:sz w:val="26"/>
          <w:szCs w:val="26"/>
        </w:rPr>
        <w:t xml:space="preserve">                  </w:t>
      </w:r>
      <w:r>
        <w:rPr>
          <w:rFonts w:eastAsia="Times New Roman"/>
          <w:sz w:val="26"/>
          <w:szCs w:val="26"/>
        </w:rPr>
        <w:t xml:space="preserve">по адресу: г. Новый Оскол, ул. 1 Мая, д. 4. Контактный телефон: (47233) 4-49-57, </w:t>
      </w:r>
      <w:r>
        <w:rPr>
          <w:rFonts w:eastAsia="Times New Roman"/>
          <w:sz w:val="26"/>
          <w:szCs w:val="26"/>
        </w:rPr>
        <w:t xml:space="preserve">                                   </w:t>
      </w:r>
      <w:r>
        <w:rPr>
          <w:rFonts w:eastAsia="Times New Roman"/>
          <w:sz w:val="26"/>
          <w:szCs w:val="26"/>
        </w:rPr>
        <w:t xml:space="preserve">с </w:t>
      </w:r>
      <w:r>
        <w:rPr>
          <w:rFonts w:eastAsia="Times New Roman"/>
          <w:sz w:val="26"/>
          <w:szCs w:val="26"/>
        </w:rPr>
        <w:t xml:space="preserve">31 августа</w:t>
      </w:r>
      <w:r>
        <w:rPr>
          <w:rFonts w:eastAsia="Times New Roman"/>
          <w:sz w:val="26"/>
          <w:szCs w:val="26"/>
        </w:rPr>
        <w:t xml:space="preserve"> 2026 года по </w:t>
      </w:r>
      <w:r>
        <w:rPr>
          <w:rFonts w:eastAsia="Times New Roman"/>
          <w:sz w:val="26"/>
          <w:szCs w:val="26"/>
        </w:rPr>
        <w:t xml:space="preserve">14 сентября </w:t>
      </w:r>
      <w:r>
        <w:rPr>
          <w:rFonts w:eastAsia="Times New Roman"/>
          <w:sz w:val="26"/>
          <w:szCs w:val="26"/>
        </w:rPr>
        <w:t xml:space="preserve">2026 года.</w:t>
      </w:r>
      <w:r/>
    </w:p>
    <w:p>
      <w:pPr>
        <w:jc w:val="both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ab/>
        <w:t xml:space="preserve">4. </w:t>
      </w:r>
      <w:r>
        <w:rPr>
          <w:sz w:val="26"/>
          <w:szCs w:val="26"/>
        </w:rPr>
        <w:t xml:space="preserve">Настоящее решение</w:t>
      </w:r>
      <w:r>
        <w:rPr>
          <w:sz w:val="26"/>
          <w:szCs w:val="26"/>
        </w:rPr>
        <w:t xml:space="preserve"> опубликовать в сетевом издании «Вперед Новооскольская газета» и разместить на официальном сайте органов местного самоуправления Новооскольского муниципального округа (novyjoskol-r31.gosweb.gosuslugi.ru) в информационно-телекоммуникационной сети «Интернет»</w:t>
      </w:r>
      <w:r>
        <w:rPr>
          <w:rFonts w:eastAsia="Times New Roman"/>
          <w:sz w:val="26"/>
          <w:szCs w:val="26"/>
        </w:rPr>
        <w:t xml:space="preserve">, </w:t>
      </w:r>
      <w:r>
        <w:rPr>
          <w:rFonts w:eastAsia="Times New Roman"/>
          <w:sz w:val="26"/>
          <w:szCs w:val="26"/>
        </w:rPr>
        <w:t xml:space="preserve"> </w:t>
      </w:r>
      <w:r>
        <w:rPr>
          <w:rFonts w:eastAsia="Times New Roman"/>
          <w:sz w:val="26"/>
          <w:szCs w:val="26"/>
        </w:rPr>
        <w:t xml:space="preserve">в информационной системе Единый портал.</w:t>
      </w:r>
      <w:r/>
    </w:p>
    <w:p>
      <w:pPr>
        <w:jc w:val="both"/>
        <w:shd w:val="clear" w:fill="FFFFFF" w:color="auto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</w:r>
      <w:r/>
    </w:p>
    <w:p>
      <w:pPr>
        <w:jc w:val="both"/>
        <w:shd w:val="clear" w:fill="FFFFFF" w:color="auto"/>
        <w:rPr>
          <w:rFonts w:eastAsia="Times New Roman"/>
          <w:b/>
          <w:sz w:val="26"/>
          <w:szCs w:val="26"/>
        </w:rPr>
      </w:pPr>
      <w:r>
        <w:rPr>
          <w:rFonts w:eastAsia="Times New Roman"/>
          <w:b/>
          <w:sz w:val="26"/>
          <w:szCs w:val="26"/>
        </w:rPr>
      </w:r>
      <w:r/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969"/>
      </w:tblGrid>
      <w:tr>
        <w:trPr/>
        <w:tc>
          <w:tcPr>
            <w:tcW w:w="5778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tabs>
                <w:tab w:val="left" w:pos="9180" w:leader="none"/>
              </w:tabs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 xml:space="preserve">  </w:t>
            </w:r>
            <w:r/>
          </w:p>
          <w:p>
            <w:pPr>
              <w:ind w:right="-5"/>
              <w:jc w:val="center"/>
              <w:widowControl w:val="off"/>
              <w:tabs>
                <w:tab w:val="left" w:pos="9180" w:leader="none"/>
              </w:tabs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 xml:space="preserve">Председатель Совета депутатов Новооскольского муниципального  округа</w:t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tabs>
                <w:tab w:val="left" w:pos="9180" w:leader="none"/>
              </w:tabs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</w:r>
            <w:r/>
          </w:p>
          <w:p>
            <w:pPr>
              <w:ind w:right="-5"/>
              <w:jc w:val="right"/>
              <w:widowControl w:val="off"/>
              <w:tabs>
                <w:tab w:val="left" w:pos="9180" w:leader="none"/>
              </w:tabs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</w:r>
            <w:r/>
          </w:p>
          <w:p>
            <w:pPr>
              <w:ind w:right="-5"/>
              <w:jc w:val="right"/>
              <w:widowControl w:val="off"/>
              <w:tabs>
                <w:tab w:val="left" w:pos="9180" w:leader="none"/>
              </w:tabs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  <w:t xml:space="preserve">            </w:t>
            </w:r>
            <w:r>
              <w:rPr>
                <w:rFonts w:eastAsia="Times New Roman"/>
                <w:b/>
                <w:sz w:val="26"/>
                <w:szCs w:val="26"/>
              </w:rPr>
              <w:t xml:space="preserve">А.И</w:t>
            </w:r>
            <w:r>
              <w:rPr>
                <w:rFonts w:eastAsia="Times New Roman"/>
                <w:b/>
                <w:sz w:val="26"/>
                <w:szCs w:val="26"/>
              </w:rPr>
              <w:t xml:space="preserve">. Попова</w:t>
            </w:r>
            <w:r/>
          </w:p>
        </w:tc>
      </w:tr>
      <w:tr>
        <w:trPr/>
        <w:tc>
          <w:tcPr>
            <w:tcW w:w="5778" w:type="dxa"/>
            <w:textDirection w:val="lrTb"/>
            <w:noWrap w:val="false"/>
          </w:tcPr>
          <w:p>
            <w:pPr>
              <w:ind w:right="-5"/>
              <w:jc w:val="center"/>
              <w:widowControl w:val="off"/>
              <w:tabs>
                <w:tab w:val="left" w:pos="9180" w:leader="none"/>
              </w:tabs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</w:r>
            <w:r/>
          </w:p>
        </w:tc>
        <w:tc>
          <w:tcPr>
            <w:tcW w:w="3969" w:type="dxa"/>
            <w:textDirection w:val="lrTb"/>
            <w:noWrap w:val="false"/>
          </w:tcPr>
          <w:p>
            <w:pPr>
              <w:ind w:right="-5"/>
              <w:jc w:val="both"/>
              <w:widowControl w:val="off"/>
              <w:tabs>
                <w:tab w:val="left" w:pos="9180" w:leader="none"/>
              </w:tabs>
              <w:rPr>
                <w:rFonts w:eastAsia="Times New Roman"/>
                <w:b/>
                <w:sz w:val="26"/>
                <w:szCs w:val="26"/>
              </w:rPr>
            </w:pPr>
            <w:r>
              <w:rPr>
                <w:rFonts w:eastAsia="Times New Roman"/>
                <w:b/>
                <w:sz w:val="26"/>
                <w:szCs w:val="26"/>
              </w:rPr>
            </w:r>
            <w:r/>
          </w:p>
        </w:tc>
      </w:tr>
    </w:tbl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>
        <w:rPr>
          <w:rFonts w:eastAsia="Times New Roman"/>
          <w:i/>
          <w:sz w:val="26"/>
          <w:szCs w:val="26"/>
        </w:rPr>
      </w:r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>
        <w:rPr>
          <w:rFonts w:eastAsia="Times New Roman"/>
          <w:i/>
          <w:sz w:val="26"/>
          <w:szCs w:val="26"/>
        </w:rPr>
      </w:r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>
        <w:rPr>
          <w:rFonts w:eastAsia="Times New Roman"/>
          <w:i/>
          <w:sz w:val="26"/>
          <w:szCs w:val="26"/>
        </w:rPr>
      </w:r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>
        <w:rPr>
          <w:rFonts w:eastAsia="Times New Roman"/>
          <w:i/>
          <w:sz w:val="26"/>
          <w:szCs w:val="26"/>
        </w:rPr>
      </w:r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>
        <w:rPr>
          <w:rFonts w:eastAsia="Times New Roman"/>
          <w:i/>
          <w:sz w:val="26"/>
          <w:szCs w:val="26"/>
        </w:rPr>
      </w:r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>
        <w:rPr>
          <w:rFonts w:eastAsia="Times New Roman"/>
          <w:i/>
          <w:sz w:val="26"/>
          <w:szCs w:val="26"/>
        </w:rPr>
      </w:r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>
        <w:rPr>
          <w:rFonts w:eastAsia="Times New Roman"/>
          <w:i/>
          <w:sz w:val="26"/>
          <w:szCs w:val="26"/>
        </w:rPr>
      </w:r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>
        <w:rPr>
          <w:rFonts w:eastAsia="Times New Roman"/>
          <w:i/>
          <w:sz w:val="26"/>
          <w:szCs w:val="26"/>
        </w:rPr>
      </w:r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p>
      <w:pPr>
        <w:ind w:right="-77"/>
        <w:tabs>
          <w:tab w:val="right" w:pos="9356" w:leader="none"/>
        </w:tabs>
        <w:rPr>
          <w:rFonts w:eastAsia="Times New Roman"/>
          <w:i/>
          <w:sz w:val="26"/>
          <w:szCs w:val="26"/>
        </w:rPr>
      </w:pPr>
      <w:r>
        <w:rPr>
          <w:rFonts w:eastAsia="Times New Roman"/>
          <w:i/>
          <w:sz w:val="26"/>
          <w:szCs w:val="26"/>
        </w:rPr>
      </w:r>
      <w:r/>
    </w:p>
    <w:tbl>
      <w:tblPr>
        <w:tblW w:w="0" w:type="auto"/>
        <w:tblInd w:w="4361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386"/>
      </w:tblGrid>
      <w:tr>
        <w:trPr/>
        <w:tc>
          <w:tcPr>
            <w:tcBorders>
              <w:left w:val="none" w:color="000000" w:sz="4" w:space="0"/>
              <w:top w:val="none" w:color="000000" w:sz="4" w:space="0"/>
              <w:right w:val="none" w:color="000000" w:sz="4" w:space="0"/>
              <w:bottom w:val="none" w:color="000000" w:sz="4" w:space="0"/>
            </w:tcBorders>
            <w:tcW w:w="5386" w:type="dxa"/>
            <w:textDirection w:val="lrTb"/>
            <w:noWrap w:val="false"/>
          </w:tcPr>
          <w:p>
            <w:pPr>
              <w:jc w:val="center"/>
              <w:widowControl w:val="off"/>
              <w:tabs>
                <w:tab w:val="left" w:pos="3068" w:leader="none"/>
              </w:tabs>
              <w:rPr>
                <w:rFonts w:eastAsia="Times New Roman"/>
                <w:b/>
                <w:sz w:val="25"/>
                <w:szCs w:val="25"/>
              </w:rPr>
            </w:pPr>
            <w:r>
              <w:rPr>
                <w:rFonts w:eastAsia="Times New Roman"/>
                <w:b/>
                <w:sz w:val="25"/>
                <w:szCs w:val="25"/>
              </w:rPr>
              <w:t xml:space="preserve">Приложение</w:t>
            </w:r>
            <w:r/>
          </w:p>
          <w:p>
            <w:pPr>
              <w:jc w:val="center"/>
              <w:widowControl w:val="off"/>
              <w:rPr>
                <w:rFonts w:eastAsia="Times New Roman"/>
                <w:b/>
                <w:sz w:val="25"/>
                <w:szCs w:val="25"/>
              </w:rPr>
            </w:pPr>
            <w:r>
              <w:rPr>
                <w:rFonts w:eastAsia="Times New Roman"/>
                <w:b/>
                <w:sz w:val="25"/>
                <w:szCs w:val="25"/>
              </w:rPr>
              <w:t xml:space="preserve">к распоряжению председателя</w:t>
            </w:r>
            <w:r/>
          </w:p>
          <w:p>
            <w:pPr>
              <w:jc w:val="center"/>
              <w:widowControl w:val="off"/>
              <w:rPr>
                <w:rFonts w:eastAsia="Times New Roman"/>
                <w:b/>
                <w:sz w:val="25"/>
                <w:szCs w:val="25"/>
              </w:rPr>
            </w:pPr>
            <w:r>
              <w:rPr>
                <w:rFonts w:eastAsia="Times New Roman"/>
                <w:b/>
                <w:sz w:val="25"/>
                <w:szCs w:val="25"/>
              </w:rPr>
              <w:t xml:space="preserve">Совета депутатов </w:t>
            </w:r>
            <w:r/>
          </w:p>
          <w:p>
            <w:pPr>
              <w:jc w:val="center"/>
              <w:widowControl w:val="off"/>
              <w:rPr>
                <w:rFonts w:eastAsia="Times New Roman"/>
                <w:b/>
                <w:sz w:val="25"/>
                <w:szCs w:val="25"/>
              </w:rPr>
            </w:pPr>
            <w:r>
              <w:rPr>
                <w:rFonts w:eastAsia="Times New Roman"/>
                <w:b/>
                <w:sz w:val="25"/>
                <w:szCs w:val="25"/>
              </w:rPr>
              <w:t xml:space="preserve"> Новооскольского муниципального округа</w:t>
            </w:r>
            <w:r/>
          </w:p>
          <w:p>
            <w:pPr>
              <w:jc w:val="center"/>
              <w:widowControl w:val="off"/>
              <w:rPr>
                <w:rFonts w:eastAsia="Times New Roman"/>
                <w:sz w:val="25"/>
                <w:szCs w:val="25"/>
              </w:rPr>
            </w:pPr>
            <w:r>
              <w:rPr>
                <w:rFonts w:eastAsia="Times New Roman"/>
                <w:b/>
                <w:sz w:val="25"/>
                <w:szCs w:val="25"/>
              </w:rPr>
              <w:t xml:space="preserve">от </w:t>
            </w:r>
            <w:r>
              <w:rPr>
                <w:rFonts w:eastAsia="Times New Roman"/>
                <w:b/>
                <w:sz w:val="25"/>
                <w:szCs w:val="25"/>
              </w:rPr>
              <w:t xml:space="preserve">28 августа</w:t>
            </w:r>
            <w:r>
              <w:rPr>
                <w:rFonts w:eastAsia="Times New Roman"/>
                <w:b/>
                <w:sz w:val="25"/>
                <w:szCs w:val="25"/>
              </w:rPr>
              <w:t xml:space="preserve"> 2026 года № </w:t>
            </w:r>
            <w:r>
              <w:rPr>
                <w:rFonts w:eastAsia="Times New Roman"/>
                <w:b/>
                <w:sz w:val="25"/>
                <w:szCs w:val="25"/>
              </w:rPr>
              <w:t xml:space="preserve">34</w:t>
            </w:r>
            <w:r>
              <w:rPr>
                <w:rFonts w:eastAsia="Times New Roman"/>
                <w:b/>
                <w:sz w:val="25"/>
                <w:szCs w:val="25"/>
              </w:rPr>
              <w:t xml:space="preserve">-р</w:t>
            </w:r>
            <w:r/>
          </w:p>
        </w:tc>
      </w:tr>
    </w:tbl>
    <w:p>
      <w:pPr>
        <w:rPr>
          <w:rFonts w:eastAsia="Times New Roman"/>
          <w:b/>
          <w:spacing w:val="1"/>
          <w:sz w:val="25"/>
          <w:szCs w:val="25"/>
        </w:rPr>
        <w:outlineLvl w:val="0"/>
      </w:pPr>
      <w:r>
        <w:rPr>
          <w:rFonts w:eastAsia="Times New Roman"/>
          <w:b/>
          <w:spacing w:val="1"/>
          <w:sz w:val="25"/>
          <w:szCs w:val="25"/>
        </w:rPr>
      </w:r>
      <w:r/>
    </w:p>
    <w:p>
      <w:pPr>
        <w:jc w:val="center"/>
        <w:rPr>
          <w:rFonts w:eastAsia="Times New Roman"/>
          <w:b/>
          <w:spacing w:val="1"/>
          <w:sz w:val="25"/>
          <w:szCs w:val="25"/>
        </w:rPr>
        <w:outlineLvl w:val="0"/>
      </w:pPr>
      <w:r>
        <w:rPr>
          <w:rFonts w:eastAsia="Times New Roman"/>
          <w:b/>
          <w:bCs/>
          <w:spacing w:val="1"/>
          <w:sz w:val="25"/>
          <w:szCs w:val="25"/>
        </w:rPr>
        <w:t xml:space="preserve">Оповещение</w:t>
      </w:r>
      <w:r/>
    </w:p>
    <w:p>
      <w:pPr>
        <w:jc w:val="center"/>
        <w:rPr>
          <w:rFonts w:eastAsia="Times New Roman"/>
          <w:b/>
          <w:spacing w:val="1"/>
          <w:sz w:val="25"/>
          <w:szCs w:val="25"/>
        </w:rPr>
        <w:outlineLvl w:val="0"/>
      </w:pPr>
      <w:r>
        <w:rPr>
          <w:rFonts w:eastAsia="Times New Roman"/>
          <w:b/>
          <w:bCs/>
          <w:spacing w:val="1"/>
          <w:sz w:val="25"/>
          <w:szCs w:val="25"/>
        </w:rPr>
        <w:t xml:space="preserve">о начале публичных слушаний</w:t>
      </w:r>
      <w:r/>
    </w:p>
    <w:p>
      <w:pPr>
        <w:jc w:val="center"/>
        <w:rPr>
          <w:rFonts w:eastAsia="Times New Roman"/>
          <w:b/>
          <w:spacing w:val="1"/>
          <w:sz w:val="25"/>
          <w:szCs w:val="25"/>
        </w:rPr>
      </w:pPr>
      <w:r>
        <w:rPr>
          <w:rFonts w:eastAsia="Times New Roman"/>
          <w:b/>
          <w:spacing w:val="1"/>
          <w:sz w:val="25"/>
          <w:szCs w:val="25"/>
        </w:rPr>
      </w:r>
      <w:r/>
    </w:p>
    <w:p>
      <w:pPr>
        <w:ind w:firstLine="708"/>
        <w:jc w:val="both"/>
        <w:rPr>
          <w:sz w:val="25"/>
          <w:szCs w:val="25"/>
        </w:rPr>
      </w:pPr>
      <w:r>
        <w:rPr>
          <w:rFonts w:eastAsia="Times New Roman"/>
          <w:sz w:val="25"/>
          <w:szCs w:val="25"/>
        </w:rPr>
        <w:t xml:space="preserve">Комиссия по Правилам землепользования и застройки при Администрации Новооскольского муниципального округа</w:t>
      </w:r>
      <w:r>
        <w:rPr>
          <w:rFonts w:eastAsia="Times New Roman"/>
          <w:b/>
          <w:i/>
          <w:sz w:val="25"/>
          <w:szCs w:val="25"/>
        </w:rPr>
        <w:t xml:space="preserve"> </w:t>
      </w:r>
      <w:r>
        <w:rPr>
          <w:rFonts w:eastAsia="Times New Roman"/>
          <w:sz w:val="25"/>
          <w:szCs w:val="25"/>
        </w:rPr>
        <w:t xml:space="preserve">оповещает о начале публичных слушаний </w:t>
      </w:r>
      <w:r>
        <w:rPr>
          <w:sz w:val="25"/>
          <w:szCs w:val="25"/>
        </w:rPr>
        <w:t xml:space="preserve">по вопросу предоставления разрешения </w:t>
      </w:r>
      <w:r>
        <w:rPr>
          <w:sz w:val="25"/>
          <w:szCs w:val="25"/>
        </w:rPr>
        <w:t xml:space="preserve">на условно разрешенный вид использования земельного участка, расположенного в зоне </w:t>
      </w:r>
      <w:r>
        <w:rPr>
          <w:sz w:val="25"/>
          <w:szCs w:val="25"/>
        </w:rPr>
        <w:t xml:space="preserve">ОД-2 (условно разрешенный вид использования – «Общежития», код вида 3.2.4, кадастровый номер 31:19:0407002:39), </w:t>
      </w:r>
      <w:r>
        <w:rPr>
          <w:sz w:val="25"/>
          <w:szCs w:val="25"/>
        </w:rPr>
        <w:t xml:space="preserve">            </w:t>
      </w:r>
      <w:r>
        <w:rPr>
          <w:sz w:val="25"/>
          <w:szCs w:val="25"/>
        </w:rPr>
        <w:t xml:space="preserve">по адресу: обл. Белгородская, р-н </w:t>
      </w:r>
      <w:r>
        <w:rPr>
          <w:sz w:val="25"/>
          <w:szCs w:val="25"/>
        </w:rPr>
        <w:t xml:space="preserve">Новооскольский</w:t>
      </w:r>
      <w:r>
        <w:rPr>
          <w:sz w:val="25"/>
          <w:szCs w:val="25"/>
        </w:rPr>
        <w:t xml:space="preserve">, с. </w:t>
      </w:r>
      <w:r>
        <w:rPr>
          <w:sz w:val="25"/>
          <w:szCs w:val="25"/>
        </w:rPr>
        <w:t xml:space="preserve">Голубино</w:t>
      </w:r>
      <w:r>
        <w:rPr>
          <w:sz w:val="25"/>
          <w:szCs w:val="25"/>
        </w:rPr>
        <w:t xml:space="preserve"> для общежития</w:t>
      </w:r>
      <w:r>
        <w:rPr>
          <w:sz w:val="25"/>
          <w:szCs w:val="25"/>
        </w:rPr>
        <w:t xml:space="preserve">.</w:t>
      </w:r>
      <w:r/>
    </w:p>
    <w:p>
      <w:pPr>
        <w:ind w:firstLine="708"/>
        <w:jc w:val="both"/>
        <w:rPr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 xml:space="preserve">Перечень информационных материалов к указанному проекту:</w:t>
      </w:r>
      <w:r/>
    </w:p>
    <w:p>
      <w:pPr>
        <w:ind w:right="-6" w:firstLine="540"/>
        <w:jc w:val="both"/>
        <w:tabs>
          <w:tab w:val="left" w:pos="9180" w:leader="none"/>
        </w:tabs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 xml:space="preserve">- Карта градостроительного зонирования;</w:t>
      </w:r>
      <w:r/>
    </w:p>
    <w:p>
      <w:pPr>
        <w:ind w:right="-6" w:firstLine="540"/>
        <w:jc w:val="both"/>
        <w:tabs>
          <w:tab w:val="left" w:pos="9180" w:leader="none"/>
        </w:tabs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 xml:space="preserve">- Правила землепользования и застройки.</w:t>
      </w:r>
      <w:r/>
    </w:p>
    <w:p>
      <w:pPr>
        <w:ind w:right="-6" w:firstLine="709"/>
        <w:jc w:val="both"/>
        <w:tabs>
          <w:tab w:val="left" w:pos="9180" w:leader="none"/>
        </w:tabs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 xml:space="preserve">Дата и время проведения публичных слушаний</w:t>
      </w:r>
      <w:r>
        <w:rPr>
          <w:rFonts w:eastAsia="Times New Roman"/>
          <w:sz w:val="25"/>
          <w:szCs w:val="25"/>
        </w:rPr>
        <w:t xml:space="preserve">: </w:t>
      </w:r>
      <w:r>
        <w:rPr>
          <w:rFonts w:eastAsia="Times New Roman"/>
          <w:sz w:val="25"/>
          <w:szCs w:val="25"/>
        </w:rPr>
        <w:t xml:space="preserve">15 сентября</w:t>
      </w:r>
      <w:r>
        <w:rPr>
          <w:rFonts w:eastAsia="Times New Roman"/>
          <w:sz w:val="25"/>
          <w:szCs w:val="25"/>
        </w:rPr>
        <w:t xml:space="preserve"> 2026 года </w:t>
      </w:r>
      <w:r>
        <w:rPr>
          <w:rFonts w:eastAsia="Times New Roman"/>
          <w:bCs/>
          <w:sz w:val="25"/>
          <w:szCs w:val="25"/>
        </w:rPr>
        <w:t xml:space="preserve">10</w:t>
      </w:r>
      <w:r>
        <w:rPr>
          <w:rFonts w:eastAsia="Times New Roman"/>
          <w:bCs/>
          <w:sz w:val="25"/>
          <w:szCs w:val="25"/>
          <w:vertAlign w:val="superscript"/>
        </w:rPr>
        <w:t xml:space="preserve">0</w:t>
      </w:r>
      <w:r>
        <w:rPr>
          <w:rFonts w:eastAsia="Times New Roman"/>
          <w:bCs/>
          <w:sz w:val="25"/>
          <w:szCs w:val="25"/>
          <w:vertAlign w:val="superscript"/>
        </w:rPr>
        <w:t xml:space="preserve">0</w:t>
      </w:r>
      <w:r>
        <w:rPr>
          <w:rFonts w:eastAsia="Times New Roman"/>
          <w:bCs/>
          <w:sz w:val="25"/>
          <w:szCs w:val="25"/>
        </w:rPr>
        <w:t xml:space="preserve"> часов</w:t>
      </w:r>
      <w:r>
        <w:rPr>
          <w:rFonts w:eastAsia="Times New Roman"/>
          <w:b/>
          <w:bCs/>
          <w:sz w:val="25"/>
          <w:szCs w:val="25"/>
        </w:rPr>
        <w:t xml:space="preserve"> </w:t>
      </w:r>
      <w:r>
        <w:rPr>
          <w:rFonts w:eastAsia="Times New Roman"/>
          <w:b/>
          <w:bCs/>
          <w:sz w:val="25"/>
          <w:szCs w:val="25"/>
        </w:rPr>
        <w:t xml:space="preserve">              </w:t>
      </w:r>
      <w:r>
        <w:rPr>
          <w:rFonts w:eastAsia="Times New Roman"/>
          <w:sz w:val="25"/>
          <w:szCs w:val="25"/>
        </w:rPr>
        <w:t xml:space="preserve">по адресу</w:t>
      </w:r>
      <w:r>
        <w:rPr>
          <w:rFonts w:eastAsia="Times New Roman"/>
          <w:sz w:val="25"/>
          <w:szCs w:val="25"/>
        </w:rPr>
        <w:t xml:space="preserve">:</w:t>
      </w:r>
      <w:r>
        <w:rPr>
          <w:rFonts w:eastAsia="Times New Roman"/>
          <w:sz w:val="25"/>
          <w:szCs w:val="25"/>
        </w:rPr>
        <w:t xml:space="preserve"> г. Новый Оскол</w:t>
      </w:r>
      <w:r>
        <w:rPr>
          <w:rFonts w:eastAsia="Times New Roman"/>
          <w:sz w:val="25"/>
          <w:szCs w:val="25"/>
        </w:rPr>
        <w:t xml:space="preserve">,</w:t>
      </w:r>
      <w:r>
        <w:rPr>
          <w:rFonts w:eastAsia="Times New Roman"/>
          <w:sz w:val="25"/>
          <w:szCs w:val="25"/>
        </w:rPr>
        <w:t xml:space="preserve"> ул. 1 Мая, д. 8 – (читальный зал</w:t>
      </w:r>
      <w:r>
        <w:rPr>
          <w:rFonts w:eastAsia="Times New Roman"/>
          <w:spacing w:val="4"/>
          <w:sz w:val="25"/>
          <w:szCs w:val="25"/>
        </w:rPr>
        <w:t xml:space="preserve"> </w:t>
      </w:r>
      <w:r>
        <w:rPr>
          <w:rFonts w:eastAsia="Times New Roman"/>
          <w:spacing w:val="4"/>
          <w:sz w:val="25"/>
          <w:szCs w:val="25"/>
        </w:rPr>
        <w:t xml:space="preserve">МБУК</w:t>
      </w:r>
      <w:r>
        <w:rPr>
          <w:rFonts w:eastAsia="Times New Roman"/>
          <w:spacing w:val="4"/>
          <w:sz w:val="25"/>
          <w:szCs w:val="25"/>
        </w:rPr>
        <w:t xml:space="preserve"> «Центральная библиотека Новооскольского муниципального округа»).</w:t>
      </w:r>
      <w:r/>
    </w:p>
    <w:p>
      <w:pPr>
        <w:ind w:right="-6" w:firstLine="709"/>
        <w:jc w:val="both"/>
        <w:tabs>
          <w:tab w:val="left" w:pos="9180" w:leader="none"/>
        </w:tabs>
        <w:rPr>
          <w:rFonts w:eastAsia="Times New Roman"/>
          <w:bCs/>
          <w:sz w:val="25"/>
          <w:szCs w:val="25"/>
        </w:rPr>
      </w:pPr>
      <w:r>
        <w:rPr>
          <w:rFonts w:eastAsia="Times New Roman"/>
          <w:sz w:val="25"/>
          <w:szCs w:val="25"/>
        </w:rPr>
        <w:t xml:space="preserve">Экспозиция проекта проводится по адресу г. Новый Оскол</w:t>
      </w:r>
      <w:r>
        <w:rPr>
          <w:rFonts w:eastAsia="Times New Roman"/>
          <w:sz w:val="25"/>
          <w:szCs w:val="25"/>
        </w:rPr>
        <w:t xml:space="preserve">,</w:t>
      </w:r>
      <w:r>
        <w:rPr>
          <w:rFonts w:eastAsia="Times New Roman"/>
          <w:sz w:val="25"/>
          <w:szCs w:val="25"/>
        </w:rPr>
        <w:t xml:space="preserve"> ул. 1 Мая, д. 8.</w:t>
      </w:r>
      <w:r/>
    </w:p>
    <w:p>
      <w:pPr>
        <w:ind w:right="-6" w:firstLine="709"/>
        <w:jc w:val="both"/>
        <w:tabs>
          <w:tab w:val="left" w:pos="9180" w:leader="none"/>
        </w:tabs>
        <w:rPr>
          <w:rFonts w:eastAsia="Times New Roman"/>
          <w:bCs/>
          <w:sz w:val="25"/>
          <w:szCs w:val="25"/>
        </w:rPr>
      </w:pPr>
      <w:r>
        <w:rPr>
          <w:rFonts w:eastAsia="Times New Roman"/>
          <w:sz w:val="25"/>
          <w:szCs w:val="25"/>
        </w:rPr>
        <w:t xml:space="preserve">Дата открытия экспозиции: </w:t>
      </w:r>
      <w:r>
        <w:rPr>
          <w:rFonts w:eastAsia="Times New Roman"/>
          <w:sz w:val="25"/>
          <w:szCs w:val="25"/>
        </w:rPr>
        <w:t xml:space="preserve">31 августа</w:t>
      </w:r>
      <w:r>
        <w:rPr>
          <w:rFonts w:eastAsia="Times New Roman"/>
          <w:sz w:val="25"/>
          <w:szCs w:val="25"/>
        </w:rPr>
        <w:t xml:space="preserve"> 2026 г.</w:t>
      </w:r>
      <w:r/>
    </w:p>
    <w:p>
      <w:pPr>
        <w:ind w:right="-6" w:firstLine="709"/>
        <w:jc w:val="both"/>
        <w:tabs>
          <w:tab w:val="left" w:pos="9180" w:leader="none"/>
        </w:tabs>
        <w:rPr>
          <w:rFonts w:eastAsia="Times New Roman"/>
          <w:sz w:val="25"/>
          <w:szCs w:val="25"/>
        </w:rPr>
      </w:pPr>
      <w:r>
        <w:rPr>
          <w:rFonts w:eastAsia="Times New Roman"/>
          <w:sz w:val="25"/>
          <w:szCs w:val="25"/>
        </w:rPr>
        <w:t xml:space="preserve">Срок проведения экспозиции: </w:t>
      </w:r>
      <w:r>
        <w:rPr>
          <w:rFonts w:eastAsia="Times New Roman"/>
          <w:sz w:val="25"/>
          <w:szCs w:val="25"/>
        </w:rPr>
        <w:t xml:space="preserve">с 31 августа 2026 г</w:t>
      </w:r>
      <w:r>
        <w:rPr>
          <w:rFonts w:eastAsia="Times New Roman"/>
          <w:sz w:val="25"/>
          <w:szCs w:val="25"/>
        </w:rPr>
        <w:t xml:space="preserve">.</w:t>
      </w:r>
      <w:r>
        <w:rPr>
          <w:rFonts w:eastAsia="Times New Roman"/>
          <w:sz w:val="25"/>
          <w:szCs w:val="25"/>
        </w:rPr>
        <w:t xml:space="preserve"> по 14 сентября 2026 г</w:t>
      </w:r>
      <w:r>
        <w:rPr>
          <w:rFonts w:eastAsia="Times New Roman"/>
          <w:sz w:val="25"/>
          <w:szCs w:val="25"/>
        </w:rPr>
        <w:t xml:space="preserve">.</w:t>
      </w:r>
      <w:r/>
    </w:p>
    <w:p>
      <w:pPr>
        <w:ind w:right="-6" w:firstLine="709"/>
        <w:jc w:val="both"/>
        <w:tabs>
          <w:tab w:val="left" w:pos="9180" w:leader="none"/>
        </w:tabs>
        <w:rPr>
          <w:rFonts w:eastAsia="Times New Roman"/>
          <w:b/>
          <w:bCs/>
          <w:sz w:val="25"/>
          <w:szCs w:val="25"/>
        </w:rPr>
      </w:pPr>
      <w:r>
        <w:rPr>
          <w:rFonts w:eastAsia="Times New Roman"/>
          <w:sz w:val="25"/>
          <w:szCs w:val="25"/>
        </w:rPr>
        <w:t xml:space="preserve">Дни и часы, в которые возможно посещение указанной экспозиции </w:t>
      </w:r>
      <w:r>
        <w:rPr>
          <w:rFonts w:eastAsia="Times New Roman"/>
          <w:sz w:val="25"/>
          <w:szCs w:val="25"/>
        </w:rPr>
        <w:t xml:space="preserve">                                      </w:t>
      </w:r>
      <w:r>
        <w:rPr>
          <w:rFonts w:eastAsia="Times New Roman"/>
          <w:sz w:val="25"/>
          <w:szCs w:val="25"/>
        </w:rPr>
        <w:t xml:space="preserve">с </w:t>
      </w:r>
      <w:r>
        <w:rPr>
          <w:rFonts w:eastAsia="Times New Roman"/>
          <w:sz w:val="25"/>
          <w:szCs w:val="25"/>
        </w:rPr>
        <w:t xml:space="preserve">31 августа</w:t>
      </w:r>
      <w:r>
        <w:rPr>
          <w:rFonts w:eastAsia="Times New Roman"/>
          <w:sz w:val="25"/>
          <w:szCs w:val="25"/>
        </w:rPr>
        <w:t xml:space="preserve"> 2026 г. по </w:t>
      </w:r>
      <w:r>
        <w:rPr>
          <w:rFonts w:eastAsia="Times New Roman"/>
          <w:sz w:val="25"/>
          <w:szCs w:val="25"/>
        </w:rPr>
        <w:t xml:space="preserve">14 сентября</w:t>
      </w:r>
      <w:r>
        <w:rPr>
          <w:rFonts w:eastAsia="Times New Roman"/>
          <w:sz w:val="25"/>
          <w:szCs w:val="25"/>
        </w:rPr>
        <w:t xml:space="preserve"> 2026 г. </w:t>
      </w:r>
      <w:r>
        <w:rPr>
          <w:rFonts w:eastAsia="Times New Roman"/>
          <w:bCs/>
          <w:sz w:val="25"/>
          <w:szCs w:val="25"/>
        </w:rPr>
        <w:t xml:space="preserve">с 8</w:t>
      </w:r>
      <w:r>
        <w:rPr>
          <w:rFonts w:eastAsia="Times New Roman"/>
          <w:bCs/>
          <w:sz w:val="25"/>
          <w:szCs w:val="25"/>
          <w:vertAlign w:val="superscript"/>
        </w:rPr>
        <w:t xml:space="preserve">00</w:t>
      </w:r>
      <w:r>
        <w:rPr>
          <w:rFonts w:eastAsia="Times New Roman"/>
          <w:bCs/>
          <w:sz w:val="25"/>
          <w:szCs w:val="25"/>
        </w:rPr>
        <w:t xml:space="preserve"> до 12</w:t>
      </w:r>
      <w:r>
        <w:rPr>
          <w:rFonts w:eastAsia="Times New Roman"/>
          <w:bCs/>
          <w:sz w:val="25"/>
          <w:szCs w:val="25"/>
          <w:vertAlign w:val="superscript"/>
        </w:rPr>
        <w:t xml:space="preserve">00</w:t>
      </w:r>
      <w:r>
        <w:rPr>
          <w:rFonts w:eastAsia="Times New Roman"/>
          <w:bCs/>
          <w:sz w:val="25"/>
          <w:szCs w:val="25"/>
        </w:rPr>
        <w:t xml:space="preserve"> и с 13</w:t>
      </w:r>
      <w:r>
        <w:rPr>
          <w:rFonts w:eastAsia="Times New Roman"/>
          <w:bCs/>
          <w:sz w:val="25"/>
          <w:szCs w:val="25"/>
          <w:vertAlign w:val="superscript"/>
        </w:rPr>
        <w:t xml:space="preserve">00</w:t>
      </w:r>
      <w:r>
        <w:rPr>
          <w:rFonts w:eastAsia="Times New Roman"/>
          <w:bCs/>
          <w:sz w:val="25"/>
          <w:szCs w:val="25"/>
        </w:rPr>
        <w:t xml:space="preserve"> до 17</w:t>
      </w:r>
      <w:r>
        <w:rPr>
          <w:rFonts w:eastAsia="Times New Roman"/>
          <w:bCs/>
          <w:sz w:val="25"/>
          <w:szCs w:val="25"/>
          <w:vertAlign w:val="superscript"/>
        </w:rPr>
        <w:t xml:space="preserve">00</w:t>
      </w:r>
      <w:r>
        <w:rPr>
          <w:rFonts w:eastAsia="Times New Roman"/>
          <w:bCs/>
          <w:sz w:val="25"/>
          <w:szCs w:val="25"/>
        </w:rPr>
        <w:t xml:space="preserve"> часов ежедневно,  </w:t>
      </w:r>
      <w:r>
        <w:rPr>
          <w:rFonts w:eastAsia="Times New Roman"/>
          <w:bCs/>
          <w:sz w:val="25"/>
          <w:szCs w:val="25"/>
        </w:rPr>
        <w:t xml:space="preserve">             </w:t>
      </w:r>
      <w:r>
        <w:rPr>
          <w:rFonts w:eastAsia="Times New Roman"/>
          <w:bCs/>
          <w:sz w:val="25"/>
          <w:szCs w:val="25"/>
        </w:rPr>
        <w:t xml:space="preserve">за исключением выходных дней.</w:t>
      </w:r>
      <w:r/>
    </w:p>
    <w:p>
      <w:pPr>
        <w:ind w:right="-6" w:firstLine="709"/>
        <w:jc w:val="both"/>
        <w:tabs>
          <w:tab w:val="left" w:pos="9180" w:leader="none"/>
        </w:tabs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 xml:space="preserve">Участники </w:t>
      </w:r>
      <w:r>
        <w:rPr>
          <w:rFonts w:eastAsia="Times New Roman"/>
          <w:sz w:val="25"/>
          <w:szCs w:val="25"/>
        </w:rPr>
        <w:t xml:space="preserve">публичных слушаний вносят</w:t>
      </w:r>
      <w:r>
        <w:rPr>
          <w:rFonts w:eastAsia="Times New Roman"/>
          <w:bCs/>
          <w:sz w:val="25"/>
          <w:szCs w:val="25"/>
        </w:rPr>
        <w:t xml:space="preserve"> предложения и замечания, касающиеся проекта, подлежащего рассмотрению на </w:t>
      </w:r>
      <w:r>
        <w:rPr>
          <w:rFonts w:eastAsia="Times New Roman"/>
          <w:sz w:val="25"/>
          <w:szCs w:val="25"/>
        </w:rPr>
        <w:t xml:space="preserve">публичных слушаниях, в письменной или устной форме в ходе проведения публичных слушаний, в письменной форме, электронной форме с использованием информационной системы Единый портал в адрес организатора публичных слушаний </w:t>
      </w:r>
      <w:r>
        <w:rPr>
          <w:rFonts w:eastAsia="Times New Roman"/>
          <w:sz w:val="25"/>
          <w:szCs w:val="25"/>
        </w:rPr>
        <w:t xml:space="preserve">с </w:t>
      </w:r>
      <w:r>
        <w:rPr>
          <w:rFonts w:eastAsia="Times New Roman"/>
          <w:sz w:val="25"/>
          <w:szCs w:val="25"/>
        </w:rPr>
        <w:t xml:space="preserve">31 августа</w:t>
      </w:r>
      <w:r>
        <w:rPr>
          <w:rFonts w:eastAsia="Times New Roman"/>
          <w:sz w:val="25"/>
          <w:szCs w:val="25"/>
        </w:rPr>
        <w:t xml:space="preserve"> 2026 г. по </w:t>
      </w:r>
      <w:r>
        <w:rPr>
          <w:rFonts w:eastAsia="Times New Roman"/>
          <w:sz w:val="25"/>
          <w:szCs w:val="25"/>
        </w:rPr>
        <w:t xml:space="preserve">14 сентября</w:t>
      </w:r>
      <w:r>
        <w:rPr>
          <w:rFonts w:eastAsia="Times New Roman"/>
          <w:sz w:val="25"/>
          <w:szCs w:val="25"/>
        </w:rPr>
        <w:t xml:space="preserve"> 2026 г.</w:t>
      </w:r>
      <w:r>
        <w:rPr>
          <w:rFonts w:eastAsia="Times New Roman"/>
          <w:sz w:val="25"/>
          <w:szCs w:val="25"/>
        </w:rPr>
        <w:t xml:space="preserve"> посредством:</w:t>
      </w:r>
      <w:r/>
    </w:p>
    <w:p>
      <w:pPr>
        <w:ind w:firstLine="709"/>
        <w:jc w:val="both"/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 xml:space="preserve">1. Официального сайта органов местного самоуправления Новооскольского муниципального округа https://novyjoskol-r31.gosweb.gosuslugi.ru/ в информационно-телекоммуникационной сети «Интернет». </w:t>
      </w:r>
      <w:r/>
    </w:p>
    <w:p>
      <w:pPr>
        <w:ind w:firstLine="709"/>
        <w:jc w:val="both"/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 xml:space="preserve">2. В письменной или устной форме по адресу г. Новый Оскол, ул. 1 Мая, д.</w:t>
      </w:r>
      <w:r>
        <w:rPr>
          <w:rFonts w:eastAsia="Times New Roman"/>
          <w:bCs/>
          <w:sz w:val="25"/>
          <w:szCs w:val="25"/>
        </w:rPr>
        <w:t xml:space="preserve"> </w:t>
      </w:r>
      <w:r>
        <w:rPr>
          <w:rFonts w:eastAsia="Times New Roman"/>
          <w:bCs/>
          <w:sz w:val="25"/>
          <w:szCs w:val="25"/>
        </w:rPr>
        <w:t xml:space="preserve">4            в отдел архитектуры и территориального планирования управления капитального строительства и архитектуры Администрации Новооскольского муниципального округа.</w:t>
      </w:r>
      <w:r/>
    </w:p>
    <w:p>
      <w:pPr>
        <w:ind w:firstLine="709"/>
        <w:jc w:val="both"/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 xml:space="preserve">3. Посредством записи в книге (журнале) учёта посетителей экспозиции проекта.</w:t>
      </w:r>
      <w:r/>
    </w:p>
    <w:p>
      <w:pPr>
        <w:ind w:firstLine="709"/>
        <w:jc w:val="both"/>
        <w:tabs>
          <w:tab w:val="left" w:pos="0" w:leader="none"/>
        </w:tabs>
        <w:rPr>
          <w:rFonts w:eastAsia="Times New Roman"/>
          <w:bCs/>
          <w:sz w:val="25"/>
          <w:szCs w:val="25"/>
        </w:rPr>
      </w:pPr>
      <w:r>
        <w:rPr>
          <w:rFonts w:eastAsia="Times New Roman"/>
          <w:bCs/>
          <w:sz w:val="25"/>
          <w:szCs w:val="25"/>
        </w:rPr>
        <w:t xml:space="preserve">Распоряжение председателя Совета депутатов Новооскольского муниципального округа от </w:t>
      </w:r>
      <w:r>
        <w:rPr>
          <w:rFonts w:eastAsia="Times New Roman"/>
          <w:sz w:val="25"/>
          <w:szCs w:val="25"/>
        </w:rPr>
        <w:t xml:space="preserve">28 августа</w:t>
      </w:r>
      <w:r>
        <w:rPr>
          <w:rFonts w:eastAsia="Times New Roman"/>
          <w:sz w:val="25"/>
          <w:szCs w:val="25"/>
        </w:rPr>
        <w:t xml:space="preserve"> 2026 года № </w:t>
      </w:r>
      <w:r>
        <w:rPr>
          <w:rFonts w:eastAsia="Times New Roman"/>
          <w:sz w:val="25"/>
          <w:szCs w:val="25"/>
        </w:rPr>
        <w:t xml:space="preserve">34</w:t>
      </w:r>
      <w:bookmarkStart w:id="0" w:name="_GoBack"/>
      <w:r/>
      <w:bookmarkEnd w:id="0"/>
      <w:r>
        <w:rPr>
          <w:rFonts w:eastAsia="Times New Roman"/>
          <w:sz w:val="25"/>
          <w:szCs w:val="25"/>
        </w:rPr>
        <w:t xml:space="preserve">-р</w:t>
      </w:r>
      <w:r>
        <w:rPr>
          <w:rFonts w:eastAsia="Times New Roman"/>
          <w:bCs/>
          <w:sz w:val="25"/>
          <w:szCs w:val="25"/>
        </w:rPr>
        <w:t xml:space="preserve"> «О назначении публичных слушаний» и информационные материалы к нему размещены на официальном сайте </w:t>
      </w:r>
      <w:r>
        <w:rPr>
          <w:sz w:val="25"/>
          <w:szCs w:val="25"/>
        </w:rPr>
        <w:t xml:space="preserve">органов местного самоуправления Новооскольского муниципального округа https://novyjoskol-r31.gosweb.gosuslugi.ru/ в информационно-телекоммуникационной сети Интернет</w:t>
      </w:r>
      <w:r>
        <w:rPr>
          <w:rFonts w:eastAsia="Times New Roman"/>
          <w:sz w:val="25"/>
          <w:szCs w:val="25"/>
        </w:rPr>
        <w:t xml:space="preserve">, </w:t>
      </w:r>
      <w:r>
        <w:rPr>
          <w:rFonts w:eastAsia="Times New Roman"/>
          <w:sz w:val="25"/>
          <w:szCs w:val="25"/>
        </w:rPr>
        <w:t xml:space="preserve">                      </w:t>
      </w:r>
      <w:r>
        <w:rPr>
          <w:rFonts w:eastAsia="Times New Roman"/>
          <w:sz w:val="25"/>
          <w:szCs w:val="25"/>
        </w:rPr>
        <w:t xml:space="preserve">в информационной системе Единый портал.</w:t>
      </w:r>
      <w:r/>
    </w:p>
    <w:sectPr>
      <w:headerReference w:type="default" r:id="rId9"/>
      <w:headerReference w:type="even" r:id="rId10"/>
      <w:footerReference w:type="even" r:id="rId11"/>
      <w:footnotePr/>
      <w:endnotePr/>
      <w:type w:val="continuous"/>
      <w:pgSz w:w="11906" w:h="16838" w:orient="portrait"/>
      <w:pgMar w:top="1134" w:right="566" w:bottom="851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7"/>
      <w:rPr>
        <w:rStyle w:val="869"/>
      </w:rPr>
      <w:framePr w:wrap="around" w:vAnchor="text" w:hAnchor="margin" w:xAlign="center" w:y="1"/>
    </w:pPr>
    <w:r>
      <w:rPr>
        <w:rStyle w:val="869"/>
      </w:rPr>
      <w:fldChar w:fldCharType="begin"/>
    </w:r>
    <w:r>
      <w:rPr>
        <w:rStyle w:val="869"/>
      </w:rPr>
      <w:instrText xml:space="preserve">PAGE  </w:instrText>
    </w:r>
    <w:r>
      <w:rPr>
        <w:rStyle w:val="869"/>
      </w:rPr>
      <w:fldChar w:fldCharType="end"/>
    </w:r>
    <w:r/>
  </w:p>
  <w:p>
    <w:pPr>
      <w:pStyle w:val="86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  <w:rPr>
        <w:rStyle w:val="869"/>
        <w:sz w:val="20"/>
        <w:szCs w:val="20"/>
      </w:rPr>
      <w:framePr w:wrap="around" w:vAnchor="text" w:hAnchor="margin" w:xAlign="center" w:y="1"/>
    </w:pPr>
    <w:r>
      <w:rPr>
        <w:rStyle w:val="869"/>
        <w:sz w:val="20"/>
        <w:szCs w:val="20"/>
      </w:rPr>
      <w:fldChar w:fldCharType="begin"/>
    </w:r>
    <w:r>
      <w:rPr>
        <w:rStyle w:val="869"/>
        <w:sz w:val="20"/>
        <w:szCs w:val="20"/>
      </w:rPr>
      <w:instrText xml:space="preserve">PAGE  </w:instrText>
    </w:r>
    <w:r>
      <w:rPr>
        <w:rStyle w:val="869"/>
        <w:sz w:val="20"/>
        <w:szCs w:val="20"/>
      </w:rPr>
      <w:fldChar w:fldCharType="separate"/>
    </w:r>
    <w:r>
      <w:rPr>
        <w:rStyle w:val="869"/>
        <w:sz w:val="20"/>
        <w:szCs w:val="20"/>
      </w:rPr>
      <w:t xml:space="preserve">3</w:t>
    </w:r>
    <w:r>
      <w:rPr>
        <w:rStyle w:val="869"/>
        <w:sz w:val="20"/>
        <w:szCs w:val="20"/>
      </w:rPr>
      <w:fldChar w:fldCharType="end"/>
    </w:r>
    <w:r/>
  </w:p>
  <w:p>
    <w:pPr>
      <w:pStyle w:val="865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5"/>
      <w:rPr>
        <w:rStyle w:val="869"/>
      </w:rPr>
      <w:framePr w:wrap="around" w:vAnchor="text" w:hAnchor="margin" w:xAlign="center" w:y="1"/>
    </w:pPr>
    <w:r>
      <w:rPr>
        <w:rStyle w:val="869"/>
      </w:rPr>
      <w:fldChar w:fldCharType="begin"/>
    </w:r>
    <w:r>
      <w:rPr>
        <w:rStyle w:val="869"/>
      </w:rPr>
      <w:instrText xml:space="preserve">PAGE  </w:instrText>
    </w:r>
    <w:r>
      <w:rPr>
        <w:rStyle w:val="869"/>
      </w:rPr>
      <w:fldChar w:fldCharType="end"/>
    </w:r>
    <w:r/>
  </w:p>
  <w:p>
    <w:pPr>
      <w:pStyle w:val="8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7"/>
      <w:numFmt w:val="decimal"/>
      <w:isLgl/>
      <w:suff w:val="tab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n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96"/>
    <w:link w:val="687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696"/>
    <w:link w:val="688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696"/>
    <w:link w:val="689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696"/>
    <w:link w:val="690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696"/>
    <w:link w:val="691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696"/>
    <w:link w:val="692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696"/>
    <w:link w:val="69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696"/>
    <w:link w:val="694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696"/>
    <w:link w:val="695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696"/>
    <w:link w:val="709"/>
    <w:uiPriority w:val="10"/>
    <w:rPr>
      <w:sz w:val="48"/>
      <w:szCs w:val="48"/>
    </w:rPr>
  </w:style>
  <w:style w:type="character" w:styleId="35">
    <w:name w:val="Subtitle Char"/>
    <w:basedOn w:val="696"/>
    <w:link w:val="711"/>
    <w:uiPriority w:val="11"/>
    <w:rPr>
      <w:sz w:val="24"/>
      <w:szCs w:val="24"/>
    </w:rPr>
  </w:style>
  <w:style w:type="character" w:styleId="37">
    <w:name w:val="Quote Char"/>
    <w:link w:val="713"/>
    <w:uiPriority w:val="29"/>
    <w:rPr>
      <w:i/>
    </w:rPr>
  </w:style>
  <w:style w:type="character" w:styleId="39">
    <w:name w:val="Intense Quote Char"/>
    <w:link w:val="715"/>
    <w:uiPriority w:val="30"/>
    <w:rPr>
      <w:i/>
    </w:rPr>
  </w:style>
  <w:style w:type="character" w:styleId="174">
    <w:name w:val="Footnote Text Char"/>
    <w:link w:val="846"/>
    <w:uiPriority w:val="99"/>
    <w:rPr>
      <w:sz w:val="18"/>
    </w:rPr>
  </w:style>
  <w:style w:type="character" w:styleId="177">
    <w:name w:val="Endnote Text Char"/>
    <w:link w:val="849"/>
    <w:uiPriority w:val="99"/>
    <w:rPr>
      <w:sz w:val="20"/>
    </w:rPr>
  </w:style>
  <w:style w:type="paragraph" w:styleId="686" w:default="1">
    <w:name w:val="Normal"/>
    <w:qFormat/>
    <w:rPr>
      <w:rFonts w:ascii="Times New Roman" w:hAnsi="Times New Roman" w:cs="Times New Roman" w:eastAsia="Calibri"/>
      <w:sz w:val="24"/>
      <w:szCs w:val="24"/>
      <w:lang w:eastAsia="ru-RU"/>
    </w:rPr>
    <w:pPr>
      <w:spacing w:lineRule="auto" w:line="240" w:after="0"/>
    </w:pPr>
  </w:style>
  <w:style w:type="paragraph" w:styleId="687">
    <w:name w:val="Heading 1"/>
    <w:basedOn w:val="686"/>
    <w:next w:val="686"/>
    <w:link w:val="699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688">
    <w:name w:val="Heading 2"/>
    <w:basedOn w:val="686"/>
    <w:next w:val="686"/>
    <w:link w:val="700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689">
    <w:name w:val="Heading 3"/>
    <w:basedOn w:val="686"/>
    <w:next w:val="686"/>
    <w:link w:val="701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690">
    <w:name w:val="Heading 4"/>
    <w:basedOn w:val="686"/>
    <w:next w:val="686"/>
    <w:link w:val="702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691">
    <w:name w:val="Heading 5"/>
    <w:basedOn w:val="686"/>
    <w:next w:val="686"/>
    <w:link w:val="703"/>
    <w:qFormat/>
    <w:uiPriority w:val="9"/>
    <w:unhideWhenUsed/>
    <w:rPr>
      <w:rFonts w:ascii="Arial" w:hAnsi="Arial" w:cs="Arial" w:eastAsia="Arial"/>
      <w:b/>
      <w:bCs/>
    </w:rPr>
    <w:pPr>
      <w:keepLines/>
      <w:keepNext/>
      <w:spacing w:after="200" w:before="320"/>
      <w:outlineLvl w:val="4"/>
    </w:pPr>
  </w:style>
  <w:style w:type="paragraph" w:styleId="692">
    <w:name w:val="Heading 6"/>
    <w:basedOn w:val="686"/>
    <w:next w:val="686"/>
    <w:link w:val="704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693">
    <w:name w:val="Heading 7"/>
    <w:basedOn w:val="686"/>
    <w:next w:val="686"/>
    <w:link w:val="705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694">
    <w:name w:val="Heading 8"/>
    <w:basedOn w:val="686"/>
    <w:next w:val="686"/>
    <w:link w:val="70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695">
    <w:name w:val="Heading 9"/>
    <w:basedOn w:val="686"/>
    <w:next w:val="686"/>
    <w:link w:val="707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96" w:default="1">
    <w:name w:val="Default Paragraph Font"/>
    <w:uiPriority w:val="1"/>
    <w:semiHidden/>
    <w:unhideWhenUsed/>
  </w:style>
  <w:style w:type="table" w:styleId="69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98" w:default="1">
    <w:name w:val="No List"/>
    <w:uiPriority w:val="99"/>
    <w:semiHidden/>
    <w:unhideWhenUsed/>
  </w:style>
  <w:style w:type="character" w:styleId="699" w:customStyle="1">
    <w:name w:val="Заголовок 1 Знак"/>
    <w:basedOn w:val="696"/>
    <w:link w:val="687"/>
    <w:uiPriority w:val="9"/>
    <w:rPr>
      <w:rFonts w:ascii="Arial" w:hAnsi="Arial" w:cs="Arial" w:eastAsia="Arial"/>
      <w:sz w:val="40"/>
      <w:szCs w:val="40"/>
    </w:rPr>
  </w:style>
  <w:style w:type="character" w:styleId="700" w:customStyle="1">
    <w:name w:val="Заголовок 2 Знак"/>
    <w:basedOn w:val="696"/>
    <w:link w:val="688"/>
    <w:uiPriority w:val="9"/>
    <w:rPr>
      <w:rFonts w:ascii="Arial" w:hAnsi="Arial" w:cs="Arial" w:eastAsia="Arial"/>
      <w:sz w:val="34"/>
    </w:rPr>
  </w:style>
  <w:style w:type="character" w:styleId="701" w:customStyle="1">
    <w:name w:val="Заголовок 3 Знак"/>
    <w:basedOn w:val="696"/>
    <w:link w:val="689"/>
    <w:uiPriority w:val="9"/>
    <w:rPr>
      <w:rFonts w:ascii="Arial" w:hAnsi="Arial" w:cs="Arial" w:eastAsia="Arial"/>
      <w:sz w:val="30"/>
      <w:szCs w:val="30"/>
    </w:rPr>
  </w:style>
  <w:style w:type="character" w:styleId="702" w:customStyle="1">
    <w:name w:val="Заголовок 4 Знак"/>
    <w:basedOn w:val="696"/>
    <w:link w:val="690"/>
    <w:uiPriority w:val="9"/>
    <w:rPr>
      <w:rFonts w:ascii="Arial" w:hAnsi="Arial" w:cs="Arial" w:eastAsia="Arial"/>
      <w:b/>
      <w:bCs/>
      <w:sz w:val="26"/>
      <w:szCs w:val="26"/>
    </w:rPr>
  </w:style>
  <w:style w:type="character" w:styleId="703" w:customStyle="1">
    <w:name w:val="Заголовок 5 Знак"/>
    <w:basedOn w:val="696"/>
    <w:link w:val="691"/>
    <w:uiPriority w:val="9"/>
    <w:rPr>
      <w:rFonts w:ascii="Arial" w:hAnsi="Arial" w:cs="Arial" w:eastAsia="Arial"/>
      <w:b/>
      <w:bCs/>
      <w:sz w:val="24"/>
      <w:szCs w:val="24"/>
    </w:rPr>
  </w:style>
  <w:style w:type="character" w:styleId="704" w:customStyle="1">
    <w:name w:val="Заголовок 6 Знак"/>
    <w:basedOn w:val="696"/>
    <w:link w:val="692"/>
    <w:uiPriority w:val="9"/>
    <w:rPr>
      <w:rFonts w:ascii="Arial" w:hAnsi="Arial" w:cs="Arial" w:eastAsia="Arial"/>
      <w:b/>
      <w:bCs/>
      <w:sz w:val="22"/>
      <w:szCs w:val="22"/>
    </w:rPr>
  </w:style>
  <w:style w:type="character" w:styleId="705" w:customStyle="1">
    <w:name w:val="Заголовок 7 Знак"/>
    <w:basedOn w:val="696"/>
    <w:link w:val="69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06" w:customStyle="1">
    <w:name w:val="Заголовок 8 Знак"/>
    <w:basedOn w:val="696"/>
    <w:link w:val="694"/>
    <w:uiPriority w:val="9"/>
    <w:rPr>
      <w:rFonts w:ascii="Arial" w:hAnsi="Arial" w:cs="Arial" w:eastAsia="Arial"/>
      <w:i/>
      <w:iCs/>
      <w:sz w:val="22"/>
      <w:szCs w:val="22"/>
    </w:rPr>
  </w:style>
  <w:style w:type="character" w:styleId="707" w:customStyle="1">
    <w:name w:val="Заголовок 9 Знак"/>
    <w:basedOn w:val="696"/>
    <w:link w:val="695"/>
    <w:uiPriority w:val="9"/>
    <w:rPr>
      <w:rFonts w:ascii="Arial" w:hAnsi="Arial" w:cs="Arial" w:eastAsia="Arial"/>
      <w:i/>
      <w:iCs/>
      <w:sz w:val="21"/>
      <w:szCs w:val="21"/>
    </w:rPr>
  </w:style>
  <w:style w:type="paragraph" w:styleId="708">
    <w:name w:val="No Spacing"/>
    <w:qFormat/>
    <w:uiPriority w:val="1"/>
    <w:pPr>
      <w:spacing w:lineRule="auto" w:line="240" w:after="0"/>
    </w:pPr>
  </w:style>
  <w:style w:type="paragraph" w:styleId="709">
    <w:name w:val="Title"/>
    <w:basedOn w:val="686"/>
    <w:next w:val="686"/>
    <w:link w:val="710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710" w:customStyle="1">
    <w:name w:val="Название Знак"/>
    <w:basedOn w:val="696"/>
    <w:link w:val="709"/>
    <w:uiPriority w:val="10"/>
    <w:rPr>
      <w:sz w:val="48"/>
      <w:szCs w:val="48"/>
    </w:rPr>
  </w:style>
  <w:style w:type="paragraph" w:styleId="711">
    <w:name w:val="Subtitle"/>
    <w:basedOn w:val="686"/>
    <w:next w:val="686"/>
    <w:link w:val="712"/>
    <w:qFormat/>
    <w:uiPriority w:val="11"/>
    <w:pPr>
      <w:spacing w:after="200" w:before="200"/>
    </w:pPr>
  </w:style>
  <w:style w:type="character" w:styleId="712" w:customStyle="1">
    <w:name w:val="Подзаголовок Знак"/>
    <w:basedOn w:val="696"/>
    <w:link w:val="711"/>
    <w:uiPriority w:val="11"/>
    <w:rPr>
      <w:sz w:val="24"/>
      <w:szCs w:val="24"/>
    </w:rPr>
  </w:style>
  <w:style w:type="paragraph" w:styleId="713">
    <w:name w:val="Quote"/>
    <w:basedOn w:val="686"/>
    <w:next w:val="686"/>
    <w:link w:val="714"/>
    <w:qFormat/>
    <w:uiPriority w:val="29"/>
    <w:rPr>
      <w:i/>
    </w:rPr>
    <w:pPr>
      <w:ind w:left="720" w:right="720"/>
    </w:pPr>
  </w:style>
  <w:style w:type="character" w:styleId="714" w:customStyle="1">
    <w:name w:val="Цитата 2 Знак"/>
    <w:link w:val="713"/>
    <w:uiPriority w:val="29"/>
    <w:rPr>
      <w:i/>
    </w:rPr>
  </w:style>
  <w:style w:type="paragraph" w:styleId="715">
    <w:name w:val="Intense Quote"/>
    <w:basedOn w:val="686"/>
    <w:next w:val="686"/>
    <w:link w:val="716"/>
    <w:qFormat/>
    <w:uiPriority w:val="30"/>
    <w:rPr>
      <w:i/>
    </w:rPr>
    <w:pPr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16" w:customStyle="1">
    <w:name w:val="Выделенная цитата Знак"/>
    <w:link w:val="715"/>
    <w:uiPriority w:val="30"/>
    <w:rPr>
      <w:i/>
    </w:rPr>
  </w:style>
  <w:style w:type="character" w:styleId="717" w:customStyle="1">
    <w:name w:val="Header Char"/>
    <w:basedOn w:val="696"/>
    <w:uiPriority w:val="99"/>
  </w:style>
  <w:style w:type="character" w:styleId="718" w:customStyle="1">
    <w:name w:val="Footer Char"/>
    <w:basedOn w:val="696"/>
    <w:uiPriority w:val="99"/>
  </w:style>
  <w:style w:type="character" w:styleId="719" w:customStyle="1">
    <w:name w:val="Caption Char"/>
    <w:uiPriority w:val="99"/>
  </w:style>
  <w:style w:type="table" w:styleId="720" w:customStyle="1">
    <w:name w:val="Table Grid Light"/>
    <w:basedOn w:val="697"/>
    <w:uiPriority w:val="59"/>
    <w:pPr>
      <w:spacing w:lineRule="auto" w:line="240" w:after="0"/>
    </w:pPr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 w:customStyle="1">
    <w:name w:val="Plain Table 1"/>
    <w:basedOn w:val="697"/>
    <w:uiPriority w:val="59"/>
    <w:pPr>
      <w:spacing w:lineRule="auto" w:line="240" w:after="0"/>
    </w:pPr>
    <w:tblPr>
      <w:tblInd w:w="0" w:type="dxa"/>
      <w:tblBorders>
        <w:left w:val="single" w:color="AFAFAF" w:sz="4" w:space="0" w:themeColor="text1" w:themeTint="50"/>
        <w:top w:val="single" w:color="AFAFAF" w:sz="4" w:space="0" w:themeColor="text1" w:themeTint="50"/>
        <w:right w:val="single" w:color="AFAFAF" w:sz="4" w:space="0" w:themeColor="text1" w:themeTint="50"/>
        <w:bottom w:val="single" w:color="AFAFAF" w:sz="4" w:space="0" w:themeColor="text1" w:themeTint="50"/>
        <w:insideV w:val="single" w:color="AFAFAF" w:sz="4" w:space="0" w:themeColor="text1" w:themeTint="50"/>
        <w:insideH w:val="single" w:color="AFAFAF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fill="F2F2F2" w:themeFill="text1" w:themeFillTint="0D" w:themeColor="text1" w:themeTint="0D"/>
      </w:tcPr>
    </w:tblStylePr>
    <w:tblStylePr w:type="band1Vert">
      <w:tcPr>
        <w:shd w:val="clear" w:color="F2F2F2" w:fill="F2F2F2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2" w:customStyle="1">
    <w:name w:val="Plain Table 2"/>
    <w:basedOn w:val="697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3" w:customStyle="1">
    <w:name w:val="Plain Table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4" w:customStyle="1">
    <w:name w:val="Plain Table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 w:customStyle="1">
    <w:name w:val="Plain Table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26" w:customStyle="1">
    <w:name w:val="Grid Table 1 Light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89898" w:sz="4" w:space="0" w:themeColor="text1" w:themeTint="67"/>
        <w:top w:val="single" w:color="989898" w:sz="4" w:space="0" w:themeColor="text1" w:themeTint="67"/>
        <w:right w:val="single" w:color="989898" w:sz="4" w:space="0" w:themeColor="text1" w:themeTint="67"/>
        <w:bottom w:val="single" w:color="989898" w:sz="4" w:space="0" w:themeColor="text1" w:themeTint="67"/>
        <w:insideV w:val="single" w:color="989898" w:sz="4" w:space="0" w:themeColor="text1" w:themeTint="67"/>
        <w:insideH w:val="single" w:color="989898" w:sz="4" w:space="0" w:themeColor="tex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989898" w:sz="4" w:space="0" w:themeColor="text1" w:themeTint="67"/>
          <w:top w:val="single" w:color="989898" w:sz="4" w:space="0" w:themeColor="text1" w:themeTint="67"/>
          <w:right w:val="single" w:color="989898" w:sz="4" w:space="0" w:themeColor="text1" w:themeTint="67"/>
          <w:bottom w:val="single" w:color="989898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 w:customStyle="1">
    <w:name w:val="Grid Table 1 Light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 w:customStyle="1">
    <w:name w:val="Grid Table 1 Light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 w:customStyle="1">
    <w:name w:val="Grid Table 1 Light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 w:customStyle="1">
    <w:name w:val="Grid Table 1 Light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Grid Table 1 Light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Grid Table 1 Light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A6A6A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6A6A6A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34" w:customStyle="1">
    <w:name w:val="Grid Table 2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A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5D8A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35" w:customStyle="1">
    <w:name w:val="Grid Table 2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36" w:customStyle="1">
    <w:name w:val="Grid Table 2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37" w:customStyle="1">
    <w:name w:val="Grid Table 2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38" w:customStyle="1">
    <w:name w:val="Grid Table 2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39" w:customStyle="1">
    <w:name w:val="Grid Table 2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40" w:customStyle="1">
    <w:name w:val="Grid Table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6A6A6A" w:sz="4" w:space="0" w:themeColor="text1" w:themeTint="95"/>
        <w:insideV w:val="single" w:color="6A6A6A" w:sz="4" w:space="0" w:themeColor="text1" w:themeTint="95"/>
        <w:insideH w:val="single" w:color="6A6A6A" w:sz="4" w:space="0" w:themeColor="text1" w:themeTint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1" w:customStyle="1">
    <w:name w:val="Grid Table 3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5D8AC2" w:sz="4" w:space="0" w:themeColor="accent1" w:themeTint="EA"/>
        <w:insideV w:val="single" w:color="5D8AC2" w:sz="4" w:space="0" w:themeColor="accent1" w:themeTint="EA"/>
        <w:insideH w:val="single" w:color="5D8AC2" w:sz="4" w:space="0" w:themeColor="accent1" w:themeTint="E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fill="DAE5F1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2" w:customStyle="1">
    <w:name w:val="Grid Table 3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3" w:customStyle="1">
    <w:name w:val="Grid Table 3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4" w:customStyle="1">
    <w:name w:val="Grid Table 3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5" w:customStyle="1">
    <w:name w:val="Grid Table 3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6" w:customStyle="1">
    <w:name w:val="Grid Table 3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7" w:customStyle="1">
    <w:name w:val="Grid Table 4"/>
    <w:basedOn w:val="6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6F6F6F" w:sz="4" w:space="0" w:themeColor="text1" w:themeTint="90"/>
        <w:top w:val="single" w:color="6F6F6F" w:sz="4" w:space="0" w:themeColor="text1" w:themeTint="90"/>
        <w:right w:val="single" w:color="6F6F6F" w:sz="4" w:space="0" w:themeColor="text1" w:themeTint="90"/>
        <w:bottom w:val="single" w:color="6F6F6F" w:sz="4" w:space="0" w:themeColor="text1" w:themeTint="90"/>
        <w:insideV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fill="CBCBCB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48" w:customStyle="1">
    <w:name w:val="Grid Table 4 - Accent 1"/>
    <w:basedOn w:val="6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fill="5D8AC2" w:themeFill="accent1" w:themeFillTint="EA" w:themeColor="accent1" w:themeTint="EA"/>
        <w:tcBorders>
          <w:left w:val="single" w:color="5D8AC2" w:sz="4" w:space="0" w:themeColor="accent1" w:themeTint="EA"/>
          <w:top w:val="single" w:color="5D8AC2" w:sz="4" w:space="0" w:themeColor="accent1" w:themeTint="EA"/>
          <w:right w:val="single" w:color="5D8AC2" w:sz="4" w:space="0" w:themeColor="accent1" w:themeTint="EA"/>
          <w:bottom w:val="single" w:color="5D8A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sz="4" w:space="0" w:themeColor="accent1" w:themeTint="EA"/>
        </w:tcBorders>
      </w:tcPr>
    </w:tblStylePr>
  </w:style>
  <w:style w:type="table" w:styleId="749" w:customStyle="1">
    <w:name w:val="Grid Table 4 - Accent 2"/>
    <w:basedOn w:val="6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V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  <w:tcBorders>
          <w:left w:val="single" w:color="D99695" w:sz="4" w:space="0" w:themeColor="accent2" w:themeTint="97"/>
          <w:top w:val="single" w:color="D99695" w:sz="4" w:space="0" w:themeColor="accent2" w:themeTint="97"/>
          <w:right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sz="4" w:space="0" w:themeColor="accent2" w:themeTint="97"/>
        </w:tcBorders>
      </w:tcPr>
    </w:tblStylePr>
  </w:style>
  <w:style w:type="table" w:styleId="750" w:customStyle="1">
    <w:name w:val="Grid Table 4 - Accent 3"/>
    <w:basedOn w:val="6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fill="9ABB59" w:themeFill="accent3" w:themeFillTint="FE" w:themeColor="accent3" w:themeTint="FE"/>
        <w:tcBorders>
          <w:left w:val="single" w:color="9ABB59" w:sz="4" w:space="0" w:themeColor="accent3" w:themeTint="FE"/>
          <w:top w:val="single" w:color="9ABB59" w:sz="4" w:space="0" w:themeColor="accent3" w:themeTint="FE"/>
          <w:right w:val="single" w:color="9ABB59" w:sz="4" w:space="0" w:themeColor="accent3" w:themeTint="FE"/>
          <w:bottom w:val="single" w:color="9A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sz="4" w:space="0" w:themeColor="accent3" w:themeTint="FE"/>
        </w:tcBorders>
      </w:tcPr>
    </w:tblStylePr>
  </w:style>
  <w:style w:type="table" w:styleId="751" w:customStyle="1">
    <w:name w:val="Grid Table 4 - Accent 4"/>
    <w:basedOn w:val="6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52" w:customStyle="1">
    <w:name w:val="Grid Table 4 - Accent 5"/>
    <w:basedOn w:val="6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53" w:customStyle="1">
    <w:name w:val="Grid Table 4 - Accent 6"/>
    <w:basedOn w:val="697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54" w:customStyle="1">
    <w:name w:val="Grid Table 5 Dark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BFBFBF" w:fill="BFBFBF" w:themeFill="text1" w:themeFillTint="40" w:themeColor="text1" w:themeTint="4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8A8A8A" w:fill="8A8A8A" w:themeFill="text1" w:themeFillTint="75" w:themeColor="text1" w:themeTint="75"/>
      </w:tcPr>
    </w:tblStylePr>
    <w:tblStylePr w:type="band1Vert">
      <w:tcPr>
        <w:shd w:val="clear" w:color="8A8A8A" w:fill="8A8A8A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  <w:tcBorders>
          <w:top w:val="single" w:color="FFFFFF" w:sz="4" w:space="0" w:themeColor="light1"/>
        </w:tcBorders>
      </w:tcPr>
    </w:tblStylePr>
  </w:style>
  <w:style w:type="table" w:styleId="755" w:customStyle="1">
    <w:name w:val="Grid Table 5 Dark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5F1" w:fill="DAE5F1" w:themeFill="accent1" w:themeFillTint="34" w:themeColor="accent1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EC4E0" w:fill="AEC4E0" w:themeFill="accent1" w:themeFillTint="75" w:themeColor="accent1" w:themeTint="75"/>
      </w:tcPr>
    </w:tblStylePr>
    <w:tblStylePr w:type="band1Vert">
      <w:tcPr>
        <w:shd w:val="clear" w:color="AEC4E0" w:fill="AEC4E0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  <w:tcBorders>
          <w:top w:val="single" w:color="FFFFFF" w:sz="4" w:space="0" w:themeColor="light1"/>
        </w:tcBorders>
      </w:tcPr>
    </w:tblStylePr>
  </w:style>
  <w:style w:type="table" w:styleId="756" w:customStyle="1">
    <w:name w:val="Grid Table 5 Dark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2DCDC" w:fill="F2DCDC" w:themeFill="accent2" w:themeFillTint="32" w:themeColor="accent2" w:themeTint="32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2AEAD" w:fill="E2AEAD" w:themeFill="accent2" w:themeFillTint="75" w:themeColor="accent2" w:themeTint="75"/>
      </w:tcPr>
    </w:tblStylePr>
    <w:tblStylePr w:type="band1Vert">
      <w:tcPr>
        <w:shd w:val="clear" w:color="E2AEAD" w:fill="E2AEAD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  <w:tcBorders>
          <w:top w:val="single" w:color="FFFFFF" w:sz="4" w:space="0" w:themeColor="light1"/>
        </w:tcBorders>
      </w:tcPr>
    </w:tblStylePr>
  </w:style>
  <w:style w:type="table" w:styleId="757" w:customStyle="1">
    <w:name w:val="Grid Table 5 Dark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AF1DC" w:fill="EAF1DC" w:themeFill="accent3" w:themeFillTint="34" w:themeColor="accent3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0DFB2" w:fill="D0DFB2" w:themeFill="accent3" w:themeFillTint="75" w:themeColor="accent3" w:themeTint="75"/>
      </w:tcPr>
    </w:tblStylePr>
    <w:tblStylePr w:type="band1Vert">
      <w:tcPr>
        <w:shd w:val="clear" w:color="D0DFB2" w:fill="D0DFB2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  <w:tcBorders>
          <w:top w:val="single" w:color="FFFFFF" w:sz="4" w:space="0" w:themeColor="light1"/>
        </w:tcBorders>
      </w:tcPr>
    </w:tblStylePr>
  </w:style>
  <w:style w:type="table" w:styleId="758" w:customStyle="1">
    <w:name w:val="Grid Table 5 Dark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E5DFEC" w:fill="E5DFEC" w:themeFill="accent4" w:themeFillTint="34" w:themeColor="accent4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4B7D4" w:fill="C4B7D4" w:themeFill="accent4" w:themeFillTint="75" w:themeColor="accent4" w:themeTint="75"/>
      </w:tcPr>
    </w:tblStylePr>
    <w:tblStylePr w:type="band1Vert">
      <w:tcPr>
        <w:shd w:val="clear" w:color="C4B7D4" w:fill="C4B7D4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  <w:tcBorders>
          <w:top w:val="single" w:color="FFFFFF" w:sz="4" w:space="0" w:themeColor="light1"/>
        </w:tcBorders>
      </w:tcPr>
    </w:tblStylePr>
  </w:style>
  <w:style w:type="table" w:styleId="759" w:customStyle="1">
    <w:name w:val="Grid Table 5 Dark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DAEEF3" w:fill="DAEEF3" w:themeFill="accent5" w:themeFillTint="34" w:themeColor="accent5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ACD8E4" w:fill="ACD8E4" w:themeFill="accent5" w:themeFillTint="75" w:themeColor="accent5" w:themeTint="75"/>
      </w:tcPr>
    </w:tblStylePr>
    <w:tblStylePr w:type="band1Vert">
      <w:tcPr>
        <w:shd w:val="clear" w:color="ACD8E4" w:fill="ACD8E4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  <w:tcBorders>
          <w:top w:val="single" w:color="FFFFFF" w:sz="4" w:space="0" w:themeColor="light1"/>
        </w:tcBorders>
      </w:tcPr>
    </w:tblStylePr>
  </w:style>
  <w:style w:type="table" w:styleId="760" w:customStyle="1">
    <w:name w:val="Grid Table 5 Dark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  <w:shd w:val="clear" w:color="FDE9D8" w:fill="FDE9D8" w:themeFill="accent6" w:themeFillTint="34" w:themeColor="accent6" w:themeTint="34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BCEAA" w:fill="FBCEAA" w:themeFill="accent6" w:themeFillTint="75" w:themeColor="accent6" w:themeTint="75"/>
      </w:tcPr>
    </w:tblStylePr>
    <w:tblStylePr w:type="band1Vert">
      <w:tcPr>
        <w:shd w:val="clear" w:color="FBCEAA" w:fill="FBCEAA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  <w:tcBorders>
          <w:top w:val="single" w:color="FFFFFF" w:sz="4" w:space="0" w:themeColor="light1"/>
        </w:tcBorders>
      </w:tcPr>
    </w:tblStylePr>
  </w:style>
  <w:style w:type="table" w:styleId="761" w:customStyle="1">
    <w:name w:val="Grid Table 6 Colorful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F7F7F" w:sz="4" w:space="0" w:themeColor="text1" w:themeTint="80"/>
        <w:top w:val="single" w:color="7F7F7F" w:sz="4" w:space="0" w:themeColor="text1" w:themeTint="80"/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fill="CBCBCB" w:themeFill="text1" w:themeFillTint="34" w:themeColor="text1" w:themeTint="34"/>
      </w:tcPr>
    </w:tblStylePr>
    <w:tblStylePr w:type="band1Vert">
      <w:tcPr>
        <w:shd w:val="clear" w:color="CBCBCB" w:fill="CBCBCB" w:themeFill="text1" w:themeFillTint="34" w:themeColor="text1" w:theme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2" w:customStyle="1">
    <w:name w:val="Grid Table 6 Colorful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63" w:customStyle="1">
    <w:name w:val="Grid Table 6 Colorful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64" w:customStyle="1">
    <w:name w:val="Grid Table 6 Colorful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ABB59" w:sz="4" w:space="0" w:themeColor="accent3" w:themeTint="FE"/>
        <w:top w:val="single" w:color="9ABB59" w:sz="4" w:space="0" w:themeColor="accent3" w:themeTint="FE"/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sz="12" w:space="0" w:themeColor="accent3" w:themeTint="FE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65" w:customStyle="1">
    <w:name w:val="Grid Table 6 Colorful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66" w:customStyle="1">
    <w:name w:val="Grid Table 6 Colorful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7" w:customStyle="1">
    <w:name w:val="Grid Table 6 Colorful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68" w:customStyle="1">
    <w:name w:val="Grid Table 7 Colorful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7F7F7F" w:sz="4" w:space="0" w:themeColor="text1" w:themeTint="80"/>
        <w:bottom w:val="single" w:color="7F7F7F" w:sz="4" w:space="0" w:themeColor="text1" w:themeTint="80"/>
        <w:insideV w:val="single" w:color="7F7F7F" w:sz="4" w:space="0" w:themeColor="text1" w:themeTint="80"/>
        <w:insideH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fill="F2F2F2" w:themeFill="text1" w:themeFillTint="0D" w:themeColor="text1" w:themeTint="0D"/>
      </w:tcPr>
    </w:tblStylePr>
    <w:tblStylePr w:type="band1Vert">
      <w:tcPr>
        <w:shd w:val="clear" w:color="F2F2F2" w:fill="F2F2F2" w:themeFill="text1" w:themeFillTint="0D" w:themeColor="text1" w:theme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69" w:customStyle="1">
    <w:name w:val="Grid Table 7 Colorful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fill="DAE5F1" w:themeFill="accent1" w:themeFillTint="34" w:themeColor="accent1" w:themeTint="34"/>
      </w:tcPr>
    </w:tblStylePr>
    <w:tblStylePr w:type="band1Vert">
      <w:tcPr>
        <w:shd w:val="clear" w:color="DAE5F1" w:fill="DAE5F1" w:themeFill="accent1" w:themeFillTint="34" w:themeColor="accent1" w:theme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70" w:customStyle="1">
    <w:name w:val="Grid Table 7 Colorful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D99695" w:sz="4" w:space="0" w:themeColor="accent2" w:themeTint="97"/>
        <w:bottom w:val="single" w:color="D99695" w:sz="4" w:space="0" w:themeColor="accent2" w:themeTint="97"/>
        <w:insideV w:val="single" w:color="D99695" w:sz="4" w:space="0" w:themeColor="accent2" w:themeTint="97"/>
        <w:insideH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fill="F2DCDC" w:themeFill="accent2" w:themeFillTint="32" w:themeColor="accent2" w:themeTint="32"/>
      </w:tcPr>
    </w:tblStylePr>
    <w:tblStylePr w:type="band1Vert">
      <w:tcPr>
        <w:shd w:val="clear" w:color="F2DCDC" w:fill="F2DCDC" w:themeFill="accent2" w:themeFillTint="32" w:themeColor="accent2" w:theme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71" w:customStyle="1">
    <w:name w:val="Grid Table 7 Colorful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ABB59" w:sz="4" w:space="0" w:themeColor="accent3" w:themeTint="FE"/>
        <w:bottom w:val="single" w:color="9ABB59" w:sz="4" w:space="0" w:themeColor="accent3" w:themeTint="FE"/>
        <w:insideV w:val="single" w:color="9ABB59" w:sz="4" w:space="0" w:themeColor="accent3" w:themeTint="FE"/>
        <w:insideH w:val="single" w:color="9ABB59" w:sz="4" w:space="0" w:themeColor="accent3" w:themeTint="FE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fill="EAF1DC" w:themeFill="accent3" w:themeFillTint="34" w:themeColor="accent3" w:themeTint="34"/>
      </w:tcPr>
    </w:tblStylePr>
    <w:tblStylePr w:type="band1Vert">
      <w:tcPr>
        <w:shd w:val="clear" w:color="EAF1DC" w:fill="EAF1DC" w:themeFill="accent3" w:themeFillTint="34" w:themeColor="accent3" w:theme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A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ABB59" w:sz="4" w:space="0" w:themeColor="accent3" w:themeTint="FE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left w:val="single" w:color="9A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A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72" w:customStyle="1">
    <w:name w:val="Grid Table 7 Colorful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fill="E5DFEC" w:themeFill="accent4" w:themeFillTint="34" w:themeColor="accent4" w:themeTint="34"/>
      </w:tcPr>
    </w:tblStylePr>
    <w:tblStylePr w:type="band1Vert">
      <w:tcPr>
        <w:shd w:val="clear" w:color="E5DFEC" w:fill="E5DFEC" w:themeFill="accent4" w:themeFillTint="34" w:themeColor="accent4" w:theme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73" w:customStyle="1">
    <w:name w:val="Grid Table 7 Colorful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fill="DAEEF3" w:themeFill="accent5" w:themeFillTint="34" w:themeColor="accent5" w:themeTint="34"/>
      </w:tcPr>
    </w:tblStylePr>
    <w:tblStylePr w:type="band1Vert">
      <w:tcPr>
        <w:shd w:val="clear" w:color="DAEEF3" w:fill="DAEEF3" w:themeFill="accent5" w:themeFillTint="34" w:themeColor="accent5" w:theme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74" w:customStyle="1">
    <w:name w:val="Grid Table 7 Colorful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fill="FDE9D8" w:themeFill="accent6" w:themeFillTint="34" w:themeColor="accent6" w:themeTint="34"/>
      </w:tcPr>
    </w:tblStylePr>
    <w:tblStylePr w:type="band1Vert">
      <w:tcPr>
        <w:shd w:val="clear" w:color="FDE9D8" w:fill="FDE9D8" w:themeFill="accent6" w:themeFillTint="34" w:themeColor="accent6" w:theme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75" w:customStyle="1">
    <w:name w:val="List Table 1 Light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76" w:customStyle="1">
    <w:name w:val="List Table 1 Light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77" w:customStyle="1">
    <w:name w:val="List Table 1 Light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78" w:customStyle="1">
    <w:name w:val="List Table 1 Light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79" w:customStyle="1">
    <w:name w:val="List Table 1 Light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List Table 1 Light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List Table 1 Light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List Table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6F6F6F" w:sz="4" w:space="0" w:themeColor="text1" w:themeTint="90"/>
        <w:bottom w:val="single" w:color="6F6F6F" w:sz="4" w:space="0" w:themeColor="text1" w:themeTint="90"/>
        <w:insideH w:val="single" w:color="6F6F6F" w:sz="4" w:space="0" w:themeColor="tex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F6F6F" w:sz="4" w:space="0" w:themeColor="text1" w:themeTint="90"/>
          <w:right w:val="none" w:color="000000" w:sz="4" w:space="0"/>
          <w:bottom w:val="single" w:color="6F6F6F" w:sz="4" w:space="0" w:themeColor="text1" w:themeTint="90"/>
        </w:tcBorders>
      </w:tcPr>
    </w:tblStylePr>
  </w:style>
  <w:style w:type="table" w:styleId="783" w:customStyle="1">
    <w:name w:val="List Table 2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784" w:customStyle="1">
    <w:name w:val="List Table 2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B9A" w:sz="4" w:space="0" w:themeColor="accent2" w:themeTint="90"/>
          <w:right w:val="none" w:color="000000" w:sz="4" w:space="0"/>
          <w:bottom w:val="single" w:color="DB9B9A" w:sz="4" w:space="0" w:themeColor="accent2" w:themeTint="90"/>
        </w:tcBorders>
      </w:tcPr>
    </w:tblStylePr>
  </w:style>
  <w:style w:type="table" w:styleId="785" w:customStyle="1">
    <w:name w:val="List Table 2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786" w:customStyle="1">
    <w:name w:val="List Table 2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787" w:customStyle="1">
    <w:name w:val="List Table 2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788" w:customStyle="1">
    <w:name w:val="List Table 2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789" w:customStyle="1">
    <w:name w:val="List Table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3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3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4" w:space="0" w:themeColor="accent2" w:themeTint="97"/>
        <w:top w:val="single" w:color="D99695" w:sz="4" w:space="0" w:themeColor="accent2" w:themeTint="97"/>
        <w:right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sz="4" w:space="0" w:themeColor="accent2" w:themeTint="97"/>
          <w:bottom w:val="single" w:color="D996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sz="4" w:space="0" w:themeColor="accent2" w:themeTint="97"/>
          <w:right w:val="single" w:color="D996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 w:customStyle="1">
    <w:name w:val="List Table 3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3D69B" w:sz="4" w:space="0" w:themeColor="accent3" w:themeTint="98"/>
        <w:top w:val="single" w:color="C3D69B" w:sz="4" w:space="0" w:themeColor="accent3" w:themeTint="98"/>
        <w:right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sz="4" w:space="0" w:themeColor="accent3" w:themeTint="98"/>
          <w:bottom w:val="single" w:color="C3D69B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sz="4" w:space="0" w:themeColor="accent3" w:themeTint="98"/>
          <w:right w:val="single" w:color="C3D69B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fill="C3D69B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 w:customStyle="1">
    <w:name w:val="List Table 3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 w:customStyle="1">
    <w:name w:val="List Table 3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 w:customStyle="1">
    <w:name w:val="List Table 3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fill="BFBFB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4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4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B9B9A" w:sz="4" w:space="0" w:themeColor="accent2" w:themeTint="90"/>
        <w:top w:val="single" w:color="DB9B9A" w:sz="4" w:space="0" w:themeColor="accent2" w:themeTint="90"/>
        <w:right w:val="single" w:color="DB9B9A" w:sz="4" w:space="0" w:themeColor="accent2" w:themeTint="90"/>
        <w:bottom w:val="single" w:color="DB9B9A" w:sz="4" w:space="0" w:themeColor="accent2" w:themeTint="90"/>
        <w:insideH w:val="single" w:color="DB9B9A" w:sz="4" w:space="0" w:themeColor="accent2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fill="EFD2D2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4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fill="E5EED5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4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4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4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fill="FDE4D0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5 Dark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F7F7F" w:sz="32" w:space="0" w:themeColor="text1" w:themeTint="80"/>
        <w:top w:val="single" w:color="7F7F7F" w:sz="32" w:space="0" w:themeColor="text1" w:themeTint="80"/>
        <w:right w:val="single" w:color="7F7F7F" w:sz="32" w:space="0" w:themeColor="text1" w:themeTint="80"/>
        <w:bottom w:val="single" w:color="7F7F7F" w:sz="32" w:space="0" w:themeColor="text1" w:themeTint="80"/>
      </w:tblBorders>
      <w:shd w:val="clear" w:color="7F7F7F" w:fill="7F7F7F" w:themeFill="text1" w:themeFillTint="80" w:themeColor="text1" w:themeTint="80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F7F7F" w:fill="7F7F7F" w:themeFill="text1" w:themeFillTint="80" w:themeColor="text1" w:themeTint="8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F7F7F" w:fill="7F7F7F" w:themeFill="text1" w:themeFillTint="80" w:themeColor="text1" w:themeTint="8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fill="7F7F7F" w:themeFill="text1" w:themeFillTint="80" w:themeColor="text1" w:themeTint="80"/>
        <w:tcBorders>
          <w:top w:val="single" w:color="7F7F7F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F7F7F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4" w:customStyle="1">
    <w:name w:val="List Table 5 Dark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  <w:shd w:val="clear" w:color="4F81BD" w:fill="4F81BD" w:themeFill="accent1" w:themeColor="accent1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 w:themeFill="accent1" w:themeColor="accent1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 w:themeFill="accent1" w:themeColor="accent1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fill="4F81BD" w:themeFill="accent1" w:themeColor="accent1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5" w:customStyle="1">
    <w:name w:val="List Table 5 Dark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9695" w:sz="32" w:space="0" w:themeColor="accent2" w:themeTint="97"/>
        <w:top w:val="single" w:color="D99695" w:sz="32" w:space="0" w:themeColor="accent2" w:themeTint="97"/>
        <w:right w:val="single" w:color="D99695" w:sz="32" w:space="0" w:themeColor="accent2" w:themeTint="97"/>
        <w:bottom w:val="single" w:color="D99695" w:sz="32" w:space="0" w:themeColor="accent2" w:themeTint="97"/>
      </w:tblBorders>
      <w:shd w:val="clear" w:color="D99695" w:fill="D99695" w:themeFill="accent2" w:themeFillTint="97" w:themeColor="accent2" w:themeTint="97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695" w:fill="D99695" w:themeFill="accent2" w:themeFillTint="97" w:themeColor="accent2" w:themeTint="97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695" w:fill="D99695" w:themeFill="accent2" w:themeFillTint="97" w:themeColor="accent2" w:themeTint="97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fill="D99695" w:themeFill="accent2" w:themeFillTint="97" w:themeColor="accent2" w:themeTint="97"/>
        <w:tcBorders>
          <w:top w:val="single" w:color="D996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6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6" w:customStyle="1">
    <w:name w:val="List Table 5 Dark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3D69B" w:sz="32" w:space="0" w:themeColor="accent3" w:themeTint="98"/>
        <w:top w:val="single" w:color="C3D69B" w:sz="32" w:space="0" w:themeColor="accent3" w:themeTint="98"/>
        <w:right w:val="single" w:color="C3D69B" w:sz="32" w:space="0" w:themeColor="accent3" w:themeTint="98"/>
        <w:bottom w:val="single" w:color="C3D69B" w:sz="32" w:space="0" w:themeColor="accent3" w:themeTint="98"/>
      </w:tblBorders>
      <w:shd w:val="clear" w:color="C3D69B" w:fill="C3D69B" w:themeFill="accent3" w:themeFillTint="98" w:themeColor="accent3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B" w:fill="C3D69B" w:themeFill="accent3" w:themeFillTint="98" w:themeColor="accent3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B" w:fill="C3D69B" w:themeFill="accent3" w:themeFillTint="98" w:themeColor="accent3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fill="C3D69B" w:themeFill="accent3" w:themeFillTint="98" w:themeColor="accent3" w:themeTint="98"/>
        <w:tcBorders>
          <w:top w:val="single" w:color="C3D69B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B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7" w:customStyle="1">
    <w:name w:val="List Table 5 Dark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  <w:shd w:val="clear" w:color="B2A1C6" w:fill="B2A1C6" w:themeFill="accent4" w:themeFillTint="9A" w:themeColor="accent4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 w:themeFill="accent4" w:themeFillTint="9A" w:themeColor="accent4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 w:themeFill="accent4" w:themeFillTint="9A" w:themeColor="accent4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fill="B2A1C6" w:themeFill="accent4" w:themeFillTint="9A" w:themeColor="accent4" w:themeTint="9A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8" w:customStyle="1">
    <w:name w:val="List Table 5 Dark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  <w:shd w:val="clear" w:color="92CCDC" w:fill="92CCDC" w:themeFill="accent5" w:themeFillTint="9A" w:themeColor="accent5" w:themeTint="9A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 w:themeFill="accent5" w:themeFillTint="9A" w:themeColor="accent5" w:themeTint="9A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 w:themeFill="accent5" w:themeFillTint="9A" w:themeColor="accent5" w:themeTint="9A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fill="92CCDC" w:themeFill="accent5" w:themeFillTint="9A" w:themeColor="accent5" w:themeTint="9A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09" w:customStyle="1">
    <w:name w:val="List Table 5 Dark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  <w:shd w:val="clear" w:color="FAC090" w:fill="FAC090" w:themeFill="accent6" w:themeFillTint="98" w:themeColor="accent6" w:themeTint="98"/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 w:themeFill="accent6" w:themeFillTint="98" w:themeColor="accent6" w:themeTint="98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 w:themeFill="accent6" w:themeFillTint="98" w:themeColor="accent6" w:themeTint="98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fill="FAC090" w:themeFill="accent6" w:themeFillTint="98" w:themeColor="accent6" w:themeTint="98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6 Colorful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7F7F7F" w:sz="4" w:space="0" w:themeColor="text1" w:themeTint="80"/>
        <w:bottom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sz="4" w:space="0" w:themeColor="text1" w:themeTint="80"/>
        </w:tcBorders>
      </w:tcPr>
    </w:tblStylePr>
  </w:style>
  <w:style w:type="table" w:styleId="811" w:customStyle="1">
    <w:name w:val="List Table 6 Colorful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4F81BD" w:sz="4" w:space="0" w:themeColor="accent1"/>
        <w:bottom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sz="4" w:space="0" w:themeColor="accent1"/>
        </w:tcBorders>
      </w:tcPr>
    </w:tblStylePr>
  </w:style>
  <w:style w:type="table" w:styleId="812" w:customStyle="1">
    <w:name w:val="List Table 6 Colorful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D99695" w:sz="4" w:space="0" w:themeColor="accent2" w:themeTint="97"/>
        <w:bottom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sz="4" w:space="0" w:themeColor="accent2" w:themeTint="97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sz="4" w:space="0" w:themeColor="accent2" w:themeTint="97"/>
        </w:tcBorders>
      </w:tcPr>
    </w:tblStylePr>
  </w:style>
  <w:style w:type="table" w:styleId="813" w:customStyle="1">
    <w:name w:val="List Table 6 Colorful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C3D69B" w:sz="4" w:space="0" w:themeColor="accent3" w:themeTint="98"/>
        <w:bottom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sz="4" w:space="0" w:themeColor="accent3" w:themeTint="98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sz="4" w:space="0" w:themeColor="accent3" w:themeTint="98"/>
        </w:tcBorders>
      </w:tcPr>
    </w:tblStylePr>
  </w:style>
  <w:style w:type="table" w:styleId="814" w:customStyle="1">
    <w:name w:val="List Table 6 Colorful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B2A1C6" w:sz="4" w:space="0" w:themeColor="accent4" w:themeTint="9A"/>
        <w:bottom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sz="4" w:space="0" w:themeColor="accent4" w:themeTint="9A"/>
        </w:tcBorders>
      </w:tcPr>
    </w:tblStylePr>
  </w:style>
  <w:style w:type="table" w:styleId="815" w:customStyle="1">
    <w:name w:val="List Table 6 Colorful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92CCDC" w:sz="4" w:space="0" w:themeColor="accent5" w:themeTint="9A"/>
        <w:bottom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sz="4" w:space="0" w:themeColor="accent5" w:themeTint="9A"/>
        </w:tcBorders>
      </w:tcPr>
    </w:tblStylePr>
  </w:style>
  <w:style w:type="table" w:styleId="816" w:customStyle="1">
    <w:name w:val="List Table 6 Colorful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FAC090" w:sz="4" w:space="0" w:themeColor="accent6" w:themeTint="98"/>
        <w:bottom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sz="4" w:space="0" w:themeColor="accent6" w:themeTint="98"/>
        </w:tcBorders>
      </w:tcPr>
    </w:tblStylePr>
  </w:style>
  <w:style w:type="table" w:styleId="817" w:customStyle="1">
    <w:name w:val="List Table 7 Colorful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7F7F7F" w:sz="4" w:space="0" w:themeColor="text1" w:themeTint="8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fill="BFBFBF" w:themeFill="text1" w:themeFillTint="40" w:themeColor="text1" w:themeTint="40"/>
      </w:tcPr>
    </w:tblStylePr>
    <w:tblStylePr w:type="band1Vert">
      <w:tcPr>
        <w:shd w:val="clear" w:color="BFBFBF" w:fill="BFBFBF" w:themeFill="text1" w:themeFillTint="40" w:themeColor="text1" w:theme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7F7F7F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F7F7F" w:sz="4" w:space="0" w:themeColor="text1" w:themeTint="8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left w:val="single" w:color="7F7F7F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7F7F7F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List Table 7 Colorful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4F81BD" w:sz="4" w:space="0" w:themeColor="accen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fill="D2DFEE" w:themeFill="accent1" w:themeFillTint="40" w:themeColor="accent1" w:themeTint="40"/>
      </w:tcPr>
    </w:tblStylePr>
    <w:tblStylePr w:type="band1Vert">
      <w:tcPr>
        <w:shd w:val="clear" w:color="D2DFEE" w:fill="D2DFEE" w:themeFill="accent1" w:themeFillTint="40" w:themeColor="accent1" w:theme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List Table 7 Colorful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D99695" w:sz="4" w:space="0" w:themeColor="accent2" w:themeTint="9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fill="EFD2D2" w:themeFill="accent2" w:themeFillTint="40" w:themeColor="accent2" w:themeTint="40"/>
      </w:tcPr>
    </w:tblStylePr>
    <w:tblStylePr w:type="band1Vert">
      <w:tcPr>
        <w:shd w:val="clear" w:color="EFD2D2" w:fill="EFD2D2" w:themeFill="accent2" w:themeFillTint="40" w:themeColor="accent2" w:theme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D996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695" w:sz="4" w:space="0" w:themeColor="accent2" w:themeTint="97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left w:val="single" w:color="D996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D996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List Table 7 Colorful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C3D69B" w:sz="4" w:space="0" w:themeColor="accent3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fill="E5EED5" w:themeFill="accent3" w:themeFillTint="40" w:themeColor="accent3" w:themeTint="40"/>
      </w:tcPr>
    </w:tblStylePr>
    <w:tblStylePr w:type="band1Vert">
      <w:tcPr>
        <w:shd w:val="clear" w:color="E5EED5" w:fill="E5EED5" w:themeFill="accent3" w:themeFillTint="40" w:themeColor="accent3" w:theme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C3D69B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B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left w:val="single" w:color="C3D69B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C3D69B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7 Colorful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B2A1C6" w:sz="4" w:space="0" w:themeColor="accent4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fill="DFD8E7" w:themeFill="accent4" w:themeFillTint="40" w:themeColor="accent4" w:themeTint="40"/>
      </w:tcPr>
    </w:tblStylePr>
    <w:tblStylePr w:type="band1Vert">
      <w:tcPr>
        <w:shd w:val="clear" w:color="DFD8E7" w:fill="DFD8E7" w:themeFill="accent4" w:themeFillTint="40" w:themeColor="accent4" w:theme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7 Colorful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92CCDC" w:sz="4" w:space="0" w:themeColor="accent5" w:themeTint="9A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fill="D1EAF0" w:themeFill="accent5" w:themeFillTint="40" w:themeColor="accent5" w:themeTint="40"/>
      </w:tcPr>
    </w:tblStylePr>
    <w:tblStylePr w:type="band1Vert">
      <w:tcPr>
        <w:shd w:val="clear" w:color="D1EAF0" w:fill="D1EAF0" w:themeFill="accent5" w:themeFillTint="40" w:themeColor="accent5" w:theme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7 Colorful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FAC090" w:sz="4" w:space="0" w:themeColor="accent6" w:themeTint="98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fill="FDE4D0" w:themeFill="accent6" w:themeFillTint="40" w:themeColor="accent6" w:themeTint="40"/>
      </w:tcPr>
    </w:tblStylePr>
    <w:tblStylePr w:type="band1Vert">
      <w:tcPr>
        <w:shd w:val="clear" w:color="FDE4D0" w:fill="FDE4D0" w:themeFill="accent6" w:themeFillTint="40" w:themeColor="accent6" w:theme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FFFFFF" w:themeFill="light1" w:themeColor="light1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ned - Accent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25" w:customStyle="1">
    <w:name w:val="Lined - Accent 1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826" w:customStyle="1">
    <w:name w:val="Lined - Accent 2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827" w:customStyle="1">
    <w:name w:val="Lined - Accent 3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828" w:customStyle="1">
    <w:name w:val="Lined - Accent 4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829" w:customStyle="1">
    <w:name w:val="Lined - Accent 5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830" w:customStyle="1">
    <w:name w:val="Lined - Accent 6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831" w:customStyle="1">
    <w:name w:val="Bordered &amp; Lined - Accent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95959" w:sz="4" w:space="0" w:themeColor="text1" w:themeTint="A6"/>
        <w:top w:val="single" w:color="595959" w:sz="4" w:space="0" w:themeColor="text1" w:themeTint="A6"/>
        <w:right w:val="single" w:color="595959" w:sz="4" w:space="0" w:themeColor="text1" w:themeTint="A6"/>
        <w:bottom w:val="single" w:color="595959" w:sz="4" w:space="0" w:themeColor="text1" w:themeTint="A6"/>
        <w:insideV w:val="single" w:color="595959" w:sz="4" w:space="0" w:themeColor="text1" w:themeTint="A6"/>
        <w:insideH w:val="single" w:color="595959" w:sz="4" w:space="0" w:themeColor="text1" w:themeTint="A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fill="F2F2F2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fill="7F7F7F" w:themeFill="text1" w:themeFillTint="80" w:themeColor="text1" w:themeTint="80"/>
      </w:tcPr>
    </w:tblStylePr>
  </w:style>
  <w:style w:type="table" w:styleId="832" w:customStyle="1">
    <w:name w:val="Bordered &amp; Lined - Accent 1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2A4A71" w:sz="4" w:space="0" w:themeColor="accent1" w:themeShade="95"/>
        <w:top w:val="single" w:color="2A4A71" w:sz="4" w:space="0" w:themeColor="accent1" w:themeShade="95"/>
        <w:right w:val="single" w:color="2A4A71" w:sz="4" w:space="0" w:themeColor="accent1" w:themeShade="95"/>
        <w:bottom w:val="single" w:color="2A4A71" w:sz="4" w:space="0" w:themeColor="accent1" w:themeShade="95"/>
        <w:insideV w:val="single" w:color="2A4A71" w:sz="4" w:space="0" w:themeColor="accent1" w:themeShade="95"/>
        <w:insideH w:val="single" w:color="2A4A71" w:sz="4" w:space="0" w:themeColor="accent1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fill="5D8AC2" w:themeFill="accent1" w:themeFillTint="EA" w:themeColor="accent1" w:themeTint="EA"/>
      </w:tcPr>
    </w:tblStylePr>
  </w:style>
  <w:style w:type="table" w:styleId="833" w:customStyle="1">
    <w:name w:val="Bordered &amp; Lined - Accent 2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732A29" w:sz="4" w:space="0" w:themeColor="accent2" w:themeShade="95"/>
        <w:top w:val="single" w:color="732A29" w:sz="4" w:space="0" w:themeColor="accent2" w:themeShade="95"/>
        <w:right w:val="single" w:color="732A29" w:sz="4" w:space="0" w:themeColor="accent2" w:themeShade="95"/>
        <w:bottom w:val="single" w:color="732A29" w:sz="4" w:space="0" w:themeColor="accent2" w:themeShade="95"/>
        <w:insideV w:val="single" w:color="732A29" w:sz="4" w:space="0" w:themeColor="accent2" w:themeShade="95"/>
        <w:insideH w:val="single" w:color="732A29" w:sz="4" w:space="0" w:themeColor="accent2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fill="D99695" w:themeFill="accent2" w:themeFillTint="97" w:themeColor="accent2" w:themeTint="97"/>
      </w:tcPr>
    </w:tblStylePr>
  </w:style>
  <w:style w:type="table" w:styleId="834" w:customStyle="1">
    <w:name w:val="Bordered &amp; Lined - Accent 3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5B722E" w:sz="4" w:space="0" w:themeColor="accent3" w:themeShade="95"/>
        <w:top w:val="single" w:color="5B722E" w:sz="4" w:space="0" w:themeColor="accent3" w:themeShade="95"/>
        <w:right w:val="single" w:color="5B722E" w:sz="4" w:space="0" w:themeColor="accent3" w:themeShade="95"/>
        <w:bottom w:val="single" w:color="5B722E" w:sz="4" w:space="0" w:themeColor="accent3" w:themeShade="95"/>
        <w:insideV w:val="single" w:color="5B722E" w:sz="4" w:space="0" w:themeColor="accent3" w:themeShade="95"/>
        <w:insideH w:val="single" w:color="5B722E" w:sz="4" w:space="0" w:themeColor="accent3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fill="EAF1DC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fill="9ABB59" w:themeFill="accent3" w:themeFillTint="FE" w:themeColor="accent3" w:themeTint="FE"/>
      </w:tcPr>
    </w:tblStylePr>
  </w:style>
  <w:style w:type="table" w:styleId="835" w:customStyle="1">
    <w:name w:val="Bordered &amp; Lined - Accent 4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 w:themeFill="accent4" w:themeFillTint="9A" w:themeColor="accent4" w:themeTint="9A"/>
      </w:tcPr>
    </w:tblStylePr>
  </w:style>
  <w:style w:type="table" w:styleId="836" w:customStyle="1">
    <w:name w:val="Bordered &amp; Lined - Accent 5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 w:themeFill="accent5" w:themeColor="accent5"/>
      </w:tcPr>
    </w:tblStylePr>
  </w:style>
  <w:style w:type="table" w:styleId="837" w:customStyle="1">
    <w:name w:val="Bordered &amp; Lined - Accent 6"/>
    <w:basedOn w:val="697"/>
    <w:uiPriority w:val="99"/>
    <w:rPr>
      <w:color w:val="404040"/>
      <w:sz w:val="20"/>
      <w:szCs w:val="20"/>
      <w:lang w:eastAsia="ru-RU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fill="FDE9D8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 w:themeFill="accent6" w:themeColor="accent6"/>
      </w:tcPr>
    </w:tblStylePr>
  </w:style>
  <w:style w:type="table" w:styleId="838" w:customStyle="1">
    <w:name w:val="Bordered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9D9D9" w:sz="4" w:space="0" w:themeColor="text1" w:themeTint="26"/>
        <w:top w:val="single" w:color="D9D9D9" w:sz="4" w:space="0" w:themeColor="text1" w:themeTint="26"/>
        <w:right w:val="single" w:color="D9D9D9" w:sz="4" w:space="0" w:themeColor="text1" w:themeTint="26"/>
        <w:bottom w:val="single" w:color="D9D9D9" w:sz="4" w:space="0" w:themeColor="text1" w:themeTint="26"/>
        <w:insideV w:val="single" w:color="D9D9D9" w:sz="4" w:space="0" w:themeColor="text1" w:themeTint="26"/>
        <w:insideH w:val="single" w:color="D9D9D9" w:sz="4" w:space="0" w:themeColor="text1" w:themeTint="26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9D9D9" w:sz="4" w:space="0" w:themeColor="text1" w:themeTint="26"/>
          <w:top w:val="single" w:color="D9D9D9" w:sz="4" w:space="0" w:themeColor="text1" w:themeTint="26"/>
          <w:right w:val="single" w:color="D9D9D9" w:sz="4" w:space="0" w:themeColor="text1" w:themeTint="26"/>
          <w:bottom w:val="single" w:color="D9D9D9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sz="12" w:space="0" w:themeColor="text1" w:themeTint="80"/>
        </w:tcBorders>
      </w:tcPr>
    </w:tblStylePr>
  </w:style>
  <w:style w:type="table" w:styleId="839" w:customStyle="1">
    <w:name w:val="Bordered - Accent 1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7CBE4" w:sz="4" w:space="0" w:themeColor="accent1" w:themeTint="67"/>
        <w:top w:val="single" w:color="B7CBE4" w:sz="4" w:space="0" w:themeColor="accent1" w:themeTint="67"/>
        <w:right w:val="single" w:color="B7CBE4" w:sz="4" w:space="0" w:themeColor="accent1" w:themeTint="67"/>
        <w:bottom w:val="single" w:color="B7CBE4" w:sz="4" w:space="0" w:themeColor="accent1" w:themeTint="67"/>
        <w:insideV w:val="single" w:color="B7CBE4" w:sz="4" w:space="0" w:themeColor="accent1" w:themeTint="67"/>
        <w:insideH w:val="single" w:color="B7CBE4" w:sz="4" w:space="0" w:themeColor="accent1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7CBE4" w:sz="4" w:space="0" w:themeColor="accent1" w:themeTint="67"/>
          <w:top w:val="single" w:color="B7CBE4" w:sz="4" w:space="0" w:themeColor="accent1" w:themeTint="67"/>
          <w:right w:val="single" w:color="B7CBE4" w:sz="4" w:space="0" w:themeColor="accent1" w:themeTint="67"/>
          <w:bottom w:val="single" w:color="B7CB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40" w:customStyle="1">
    <w:name w:val="Bordered - Accent 2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E5B7B6" w:sz="4" w:space="0" w:themeColor="accent2" w:themeTint="67"/>
        <w:top w:val="single" w:color="E5B7B6" w:sz="4" w:space="0" w:themeColor="accent2" w:themeTint="67"/>
        <w:right w:val="single" w:color="E5B7B6" w:sz="4" w:space="0" w:themeColor="accent2" w:themeTint="67"/>
        <w:bottom w:val="single" w:color="E5B7B6" w:sz="4" w:space="0" w:themeColor="accent2" w:themeTint="67"/>
        <w:insideV w:val="single" w:color="E5B7B6" w:sz="4" w:space="0" w:themeColor="accent2" w:themeTint="67"/>
        <w:insideH w:val="single" w:color="E5B7B6" w:sz="4" w:space="0" w:themeColor="accent2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E5B7B6" w:sz="4" w:space="0" w:themeColor="accent2" w:themeTint="67"/>
          <w:top w:val="single" w:color="E5B7B6" w:sz="4" w:space="0" w:themeColor="accent2" w:themeTint="67"/>
          <w:right w:val="single" w:color="E5B7B6" w:sz="4" w:space="0" w:themeColor="accent2" w:themeTint="67"/>
          <w:bottom w:val="single" w:color="E5B7B6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sz="12" w:space="0" w:themeColor="accent2" w:themeTint="97"/>
        </w:tcBorders>
      </w:tcPr>
    </w:tblStylePr>
  </w:style>
  <w:style w:type="table" w:styleId="841" w:customStyle="1">
    <w:name w:val="Bordered - Accent 3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sz="12" w:space="0" w:themeColor="accent3" w:themeTint="98"/>
        </w:tcBorders>
      </w:tcPr>
    </w:tblStylePr>
  </w:style>
  <w:style w:type="table" w:styleId="842" w:customStyle="1">
    <w:name w:val="Bordered - Accent 4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43" w:customStyle="1">
    <w:name w:val="Bordered - Accent 5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B6DDE8" w:sz="4" w:space="0" w:themeColor="accent5" w:themeTint="67"/>
        <w:top w:val="single" w:color="B6DDE8" w:sz="4" w:space="0" w:themeColor="accent5" w:themeTint="67"/>
        <w:right w:val="single" w:color="B6DDE8" w:sz="4" w:space="0" w:themeColor="accent5" w:themeTint="67"/>
        <w:bottom w:val="single" w:color="B6DDE8" w:sz="4" w:space="0" w:themeColor="accent5" w:themeTint="67"/>
        <w:insideV w:val="single" w:color="B6DDE8" w:sz="4" w:space="0" w:themeColor="accent5" w:themeTint="67"/>
        <w:insideH w:val="single" w:color="B6DDE8" w:sz="4" w:space="0" w:themeColor="accent5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8" w:sz="4" w:space="0" w:themeColor="accent5" w:themeTint="67"/>
          <w:top w:val="single" w:color="B6DDE8" w:sz="4" w:space="0" w:themeColor="accent5" w:themeTint="67"/>
          <w:right w:val="single" w:color="B6DDE8" w:sz="4" w:space="0" w:themeColor="accent5" w:themeTint="67"/>
          <w:bottom w:val="single" w:color="B6DDE8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44" w:customStyle="1">
    <w:name w:val="Bordered - Accent 6"/>
    <w:basedOn w:val="697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45">
    <w:name w:val="Hyperlink"/>
    <w:uiPriority w:val="99"/>
    <w:unhideWhenUsed/>
    <w:rPr>
      <w:color w:val="0000FF" w:themeColor="hyperlink"/>
      <w:u w:val="single"/>
    </w:rPr>
  </w:style>
  <w:style w:type="paragraph" w:styleId="846">
    <w:name w:val="footnote text"/>
    <w:basedOn w:val="686"/>
    <w:link w:val="847"/>
    <w:uiPriority w:val="99"/>
    <w:semiHidden/>
    <w:unhideWhenUsed/>
    <w:rPr>
      <w:sz w:val="18"/>
    </w:rPr>
    <w:pPr>
      <w:spacing w:after="40"/>
    </w:pPr>
  </w:style>
  <w:style w:type="character" w:styleId="847" w:customStyle="1">
    <w:name w:val="Текст сноски Знак"/>
    <w:link w:val="846"/>
    <w:uiPriority w:val="99"/>
    <w:rPr>
      <w:sz w:val="18"/>
    </w:rPr>
  </w:style>
  <w:style w:type="character" w:styleId="848">
    <w:name w:val="footnote reference"/>
    <w:basedOn w:val="696"/>
    <w:uiPriority w:val="99"/>
    <w:unhideWhenUsed/>
    <w:rPr>
      <w:vertAlign w:val="superscript"/>
    </w:rPr>
  </w:style>
  <w:style w:type="paragraph" w:styleId="849">
    <w:name w:val="endnote text"/>
    <w:basedOn w:val="686"/>
    <w:link w:val="850"/>
    <w:uiPriority w:val="99"/>
    <w:semiHidden/>
    <w:unhideWhenUsed/>
    <w:rPr>
      <w:sz w:val="20"/>
    </w:rPr>
  </w:style>
  <w:style w:type="character" w:styleId="850" w:customStyle="1">
    <w:name w:val="Текст концевой сноски Знак"/>
    <w:link w:val="849"/>
    <w:uiPriority w:val="99"/>
    <w:rPr>
      <w:sz w:val="20"/>
    </w:rPr>
  </w:style>
  <w:style w:type="character" w:styleId="851">
    <w:name w:val="endnote reference"/>
    <w:basedOn w:val="696"/>
    <w:uiPriority w:val="99"/>
    <w:semiHidden/>
    <w:unhideWhenUsed/>
    <w:rPr>
      <w:vertAlign w:val="superscript"/>
    </w:rPr>
  </w:style>
  <w:style w:type="paragraph" w:styleId="852">
    <w:name w:val="toc 1"/>
    <w:basedOn w:val="686"/>
    <w:next w:val="686"/>
    <w:uiPriority w:val="39"/>
    <w:unhideWhenUsed/>
    <w:pPr>
      <w:spacing w:after="57"/>
    </w:pPr>
  </w:style>
  <w:style w:type="paragraph" w:styleId="853">
    <w:name w:val="toc 2"/>
    <w:basedOn w:val="686"/>
    <w:next w:val="686"/>
    <w:uiPriority w:val="39"/>
    <w:unhideWhenUsed/>
    <w:pPr>
      <w:ind w:left="283"/>
      <w:spacing w:after="57"/>
    </w:pPr>
  </w:style>
  <w:style w:type="paragraph" w:styleId="854">
    <w:name w:val="toc 3"/>
    <w:basedOn w:val="686"/>
    <w:next w:val="686"/>
    <w:uiPriority w:val="39"/>
    <w:unhideWhenUsed/>
    <w:pPr>
      <w:ind w:left="567"/>
      <w:spacing w:after="57"/>
    </w:pPr>
  </w:style>
  <w:style w:type="paragraph" w:styleId="855">
    <w:name w:val="toc 4"/>
    <w:basedOn w:val="686"/>
    <w:next w:val="686"/>
    <w:uiPriority w:val="39"/>
    <w:unhideWhenUsed/>
    <w:pPr>
      <w:ind w:left="850"/>
      <w:spacing w:after="57"/>
    </w:pPr>
  </w:style>
  <w:style w:type="paragraph" w:styleId="856">
    <w:name w:val="toc 5"/>
    <w:basedOn w:val="686"/>
    <w:next w:val="686"/>
    <w:uiPriority w:val="39"/>
    <w:unhideWhenUsed/>
    <w:pPr>
      <w:ind w:left="1134"/>
      <w:spacing w:after="57"/>
    </w:pPr>
  </w:style>
  <w:style w:type="paragraph" w:styleId="857">
    <w:name w:val="toc 6"/>
    <w:basedOn w:val="686"/>
    <w:next w:val="686"/>
    <w:uiPriority w:val="39"/>
    <w:unhideWhenUsed/>
    <w:pPr>
      <w:ind w:left="1417"/>
      <w:spacing w:after="57"/>
    </w:pPr>
  </w:style>
  <w:style w:type="paragraph" w:styleId="858">
    <w:name w:val="toc 7"/>
    <w:basedOn w:val="686"/>
    <w:next w:val="686"/>
    <w:uiPriority w:val="39"/>
    <w:unhideWhenUsed/>
    <w:pPr>
      <w:ind w:left="1701"/>
      <w:spacing w:after="57"/>
    </w:pPr>
  </w:style>
  <w:style w:type="paragraph" w:styleId="859">
    <w:name w:val="toc 8"/>
    <w:basedOn w:val="686"/>
    <w:next w:val="686"/>
    <w:uiPriority w:val="39"/>
    <w:unhideWhenUsed/>
    <w:pPr>
      <w:ind w:left="1984"/>
      <w:spacing w:after="57"/>
    </w:pPr>
  </w:style>
  <w:style w:type="paragraph" w:styleId="860">
    <w:name w:val="toc 9"/>
    <w:basedOn w:val="686"/>
    <w:next w:val="686"/>
    <w:uiPriority w:val="39"/>
    <w:unhideWhenUsed/>
    <w:pPr>
      <w:ind w:left="2268"/>
      <w:spacing w:after="57"/>
    </w:pPr>
  </w:style>
  <w:style w:type="paragraph" w:styleId="861">
    <w:name w:val="TOC Heading"/>
    <w:uiPriority w:val="39"/>
    <w:unhideWhenUsed/>
  </w:style>
  <w:style w:type="paragraph" w:styleId="862">
    <w:name w:val="table of figures"/>
    <w:basedOn w:val="686"/>
    <w:next w:val="686"/>
    <w:uiPriority w:val="99"/>
    <w:unhideWhenUsed/>
  </w:style>
  <w:style w:type="paragraph" w:styleId="863">
    <w:name w:val="Caption"/>
    <w:basedOn w:val="686"/>
    <w:next w:val="686"/>
    <w:qFormat/>
    <w:rPr>
      <w:b/>
      <w:bCs/>
      <w:color w:val="000000"/>
      <w:spacing w:val="-5"/>
      <w:sz w:val="26"/>
      <w:szCs w:val="26"/>
    </w:rPr>
    <w:pPr>
      <w:ind w:left="4003"/>
      <w:spacing w:lineRule="exact" w:line="391"/>
      <w:shd w:val="clear" w:fill="FFFFFF" w:color="auto"/>
      <w:widowControl w:val="off"/>
    </w:pPr>
  </w:style>
  <w:style w:type="table" w:styleId="864">
    <w:name w:val="Table Grid"/>
    <w:basedOn w:val="697"/>
    <w:rPr>
      <w:rFonts w:ascii="Times New Roman" w:hAnsi="Times New Roman" w:cs="Times New Roman" w:eastAsia="Times New Roman"/>
      <w:sz w:val="20"/>
      <w:szCs w:val="20"/>
      <w:lang w:eastAsia="ru-RU"/>
    </w:rPr>
    <w:pPr>
      <w:spacing w:lineRule="auto" w:line="240" w:after="0"/>
      <w:widowControl w:val="off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65">
    <w:name w:val="Header"/>
    <w:basedOn w:val="686"/>
    <w:link w:val="866"/>
    <w:rPr>
      <w:rFonts w:eastAsia="Times New Roman"/>
      <w:sz w:val="26"/>
      <w:szCs w:val="26"/>
    </w:rPr>
    <w:pPr>
      <w:tabs>
        <w:tab w:val="center" w:pos="4677" w:leader="none"/>
        <w:tab w:val="right" w:pos="9355" w:leader="none"/>
      </w:tabs>
    </w:pPr>
  </w:style>
  <w:style w:type="character" w:styleId="866" w:customStyle="1">
    <w:name w:val="Верхний колонтитул Знак"/>
    <w:basedOn w:val="696"/>
    <w:link w:val="865"/>
    <w:rPr>
      <w:rFonts w:ascii="Times New Roman" w:hAnsi="Times New Roman" w:cs="Times New Roman" w:eastAsia="Times New Roman"/>
      <w:sz w:val="26"/>
      <w:szCs w:val="26"/>
      <w:lang w:eastAsia="ru-RU"/>
    </w:rPr>
  </w:style>
  <w:style w:type="paragraph" w:styleId="867">
    <w:name w:val="Footer"/>
    <w:basedOn w:val="686"/>
    <w:link w:val="868"/>
    <w:pPr>
      <w:tabs>
        <w:tab w:val="center" w:pos="4677" w:leader="none"/>
        <w:tab w:val="right" w:pos="9355" w:leader="none"/>
      </w:tabs>
    </w:pPr>
  </w:style>
  <w:style w:type="character" w:styleId="868" w:customStyle="1">
    <w:name w:val="Нижний колонтитул Знак"/>
    <w:basedOn w:val="696"/>
    <w:link w:val="867"/>
    <w:rPr>
      <w:rFonts w:ascii="Times New Roman" w:hAnsi="Times New Roman" w:cs="Times New Roman" w:eastAsia="Calibri"/>
      <w:sz w:val="24"/>
      <w:szCs w:val="24"/>
      <w:lang w:eastAsia="ru-RU"/>
    </w:rPr>
  </w:style>
  <w:style w:type="character" w:styleId="869">
    <w:name w:val="page number"/>
    <w:basedOn w:val="696"/>
  </w:style>
  <w:style w:type="paragraph" w:styleId="870">
    <w:name w:val="List Paragraph"/>
    <w:basedOn w:val="686"/>
    <w:qFormat/>
    <w:uiPriority w:val="34"/>
    <w:pPr>
      <w:contextualSpacing w:val="true"/>
      <w:ind w:left="720"/>
    </w:pPr>
  </w:style>
  <w:style w:type="paragraph" w:styleId="871">
    <w:name w:val="Balloon Text"/>
    <w:basedOn w:val="686"/>
    <w:link w:val="872"/>
    <w:uiPriority w:val="99"/>
    <w:semiHidden/>
    <w:unhideWhenUsed/>
    <w:rPr>
      <w:rFonts w:ascii="Tahoma" w:hAnsi="Tahoma" w:cs="Tahoma"/>
      <w:sz w:val="16"/>
      <w:szCs w:val="16"/>
    </w:rPr>
  </w:style>
  <w:style w:type="character" w:styleId="872" w:customStyle="1">
    <w:name w:val="Текст выноски Знак"/>
    <w:basedOn w:val="696"/>
    <w:link w:val="871"/>
    <w:uiPriority w:val="99"/>
    <w:semiHidden/>
    <w:rPr>
      <w:rFonts w:ascii="Tahoma" w:hAnsi="Tahoma" w:cs="Tahoma" w:eastAsia="Calibri"/>
      <w:sz w:val="16"/>
      <w:szCs w:val="16"/>
      <w:lang w:eastAsia="ru-RU"/>
    </w:rPr>
  </w:style>
  <w:style w:type="paragraph" w:styleId="873">
    <w:name w:val="Body Text Indent"/>
    <w:basedOn w:val="686"/>
    <w:link w:val="874"/>
    <w:uiPriority w:val="99"/>
    <w:semiHidden/>
    <w:unhideWhenUsed/>
    <w:pPr>
      <w:ind w:left="283"/>
      <w:spacing w:after="120"/>
    </w:pPr>
  </w:style>
  <w:style w:type="character" w:styleId="874" w:customStyle="1">
    <w:name w:val="Основной текст с отступом Знак"/>
    <w:basedOn w:val="696"/>
    <w:link w:val="873"/>
    <w:uiPriority w:val="99"/>
    <w:semiHidden/>
    <w:rPr>
      <w:rFonts w:ascii="Times New Roman" w:hAnsi="Times New Roman" w:cs="Times New Roman" w:eastAsia="Calibri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customXml" Target="../customXml/item2.xml" /><Relationship Id="rId14" Type="http://schemas.openxmlformats.org/officeDocument/2006/relationships/customXml" Target="../customXml/item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2B08F0EB-7087-4BB3-88BB-91DF728114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Р7-Офис/6.4.2.28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3</cp:revision>
  <dcterms:created xsi:type="dcterms:W3CDTF">2026-08-28T05:17:00Z</dcterms:created>
  <dcterms:modified xsi:type="dcterms:W3CDTF">2026-08-28T06:28:32Z</dcterms:modified>
</cp:coreProperties>
</file>