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1" name="Поле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4" cy="75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32563" cy="648119"/>
                                      <wp:effectExtent l="0" t="0" r="1270" b="0"/>
                                      <wp:docPr id="2" name="Рисунок 2" descr="C:\Users\n.didenko\Desktop\Бланки новые\БЛАНКИ - 2020 год\герб_1.png" hidden="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09792306" name="Picture 2" descr="C:\Users\n.didenko\Desktop\Бланки новые\БЛАНКИ - 2020 год\герб_1.png" hidden="0"/>
                                              <pic:cNvPicPr>
                                                <a:picLocks noChangeAspect="1"/>
                                              </pic:cNvPicPr>
                                              <pic:nvPr isPhoto="0" userDrawn="0"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39524" cy="6565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202.2pt;mso-position-horizontal:absolute;mso-position-vertical-relative:text;margin-top:-4.9pt;mso-position-vertical:absolute;width:63.1pt;height:59.2pt;v-text-anchor:top;" coordsize="100000,100000" path="" fillcolor="#FFFFFF" strokecolor="#FFFFFF" strokeweight="0.75pt">
                <v:path textboxrect="0,0,0,0"/>
                <v:textbox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32563" cy="648119"/>
                                <wp:effectExtent l="0" t="0" r="1270" b="0"/>
                                <wp:docPr id="2" name="Рисунок 2" descr="C:\Users\n.didenko\Desktop\Бланки новые\БЛАНКИ - 2020 год\герб_1.png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9792306" name="Picture 2" descr="C:\Users\n.didenko\Desktop\Бланки новые\БЛАНКИ - 2020 год\герб_1.png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524" cy="656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41.9pt;height:51.0pt;" stroked="f" strokeweight="0.75pt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20"/>
          <w:sz w:val="20"/>
          <w:szCs w:val="20"/>
        </w:rPr>
        <w:t xml:space="preserve">БЕЛГОРОДСКАЯ ОБЛАСТЬ</w:t>
      </w:r>
      <w:r>
        <w:rPr>
          <w:rFonts w:ascii="Arial" w:hAnsi="Arial" w:cs="Arial"/>
          <w:b/>
          <w:i w:val="false"/>
          <w:spacing w:val="2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20"/>
          <w:szCs w:val="20"/>
        </w:rPr>
      </w:r>
      <w:r>
        <w:rPr>
          <w:rFonts w:ascii="Arial" w:hAnsi="Arial" w:cs="Arial"/>
          <w:b/>
          <w:i w:val="false"/>
          <w:spacing w:val="0"/>
          <w:sz w:val="20"/>
          <w:szCs w:val="20"/>
        </w:rPr>
      </w:r>
      <w:r>
        <w:rPr>
          <w:b/>
        </w:rPr>
      </w:r>
    </w:p>
    <w:p>
      <w:pPr>
        <w:pStyle w:val="677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АДМИНИСТРАЦИЯ НОВООСКОЛЬСКОГО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</w:r>
      <w:r>
        <w:rPr>
          <w:b/>
        </w:rPr>
      </w:r>
    </w:p>
    <w:p>
      <w:pPr>
        <w:pStyle w:val="677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МУНИ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ЦИ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ПАЛЬНОГО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ОКРУГА 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  <w:t xml:space="preserve">БЕЛГОРОДСКОЙ ОБЛАСТИ</w:t>
      </w:r>
      <w:r>
        <w:rPr>
          <w:rFonts w:ascii="Arial Narrow" w:hAnsi="Arial Narrow" w:cs="Arial"/>
          <w:b/>
          <w:i w:val="false"/>
          <w:spacing w:val="0"/>
          <w:sz w:val="40"/>
          <w:szCs w:val="40"/>
        </w:rPr>
      </w:r>
      <w:r>
        <w:rPr>
          <w:b/>
        </w:rPr>
      </w:r>
    </w:p>
    <w:p>
      <w:pPr>
        <w:pStyle w:val="677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i w:val="false"/>
          <w:spacing w:val="0"/>
          <w:sz w:val="16"/>
          <w:szCs w:val="16"/>
        </w:rPr>
      </w:r>
      <w:r>
        <w:rPr>
          <w:rFonts w:ascii="Arial Narrow" w:hAnsi="Arial Narrow" w:cs="Arial"/>
          <w:b/>
          <w:i w:val="false"/>
          <w:spacing w:val="0"/>
          <w:sz w:val="16"/>
          <w:szCs w:val="16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32"/>
          <w:szCs w:val="32"/>
        </w:rPr>
        <w:t xml:space="preserve">П</w:t>
      </w:r>
      <w:r>
        <w:rPr>
          <w:rFonts w:ascii="Arial" w:hAnsi="Arial" w:cs="Arial"/>
          <w:b/>
          <w:i w:val="false"/>
          <w:spacing w:val="0"/>
          <w:sz w:val="32"/>
          <w:szCs w:val="32"/>
        </w:rPr>
        <w:t xml:space="preserve"> О С Т А Н О В Л Е Н И Е</w:t>
      </w:r>
      <w:r>
        <w:rPr>
          <w:rFonts w:ascii="Arial" w:hAnsi="Arial" w:cs="Arial"/>
          <w:b/>
          <w:i w:val="false"/>
          <w:spacing w:val="0"/>
          <w:sz w:val="32"/>
          <w:szCs w:val="32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16"/>
          <w:szCs w:val="16"/>
        </w:rPr>
      </w:r>
      <w:r>
        <w:rPr>
          <w:rFonts w:ascii="Arial" w:hAnsi="Arial" w:cs="Arial"/>
          <w:b/>
          <w:i w:val="false"/>
          <w:spacing w:val="0"/>
          <w:sz w:val="16"/>
          <w:szCs w:val="16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 w:val="false"/>
          <w:spacing w:val="0"/>
          <w:sz w:val="17"/>
          <w:szCs w:val="17"/>
        </w:rPr>
        <w:t xml:space="preserve">Новый Оскол</w:t>
      </w:r>
      <w:r>
        <w:rPr>
          <w:rFonts w:ascii="Arial" w:hAnsi="Arial" w:cs="Arial"/>
          <w:b/>
          <w:i w:val="false"/>
          <w:spacing w:val="0"/>
          <w:sz w:val="17"/>
          <w:szCs w:val="17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</w:rPr>
      </w:pPr>
      <w:r>
        <w:rPr>
          <w:b/>
        </w:rPr>
      </w:r>
      <w:bookmarkStart w:id="0" w:name="_GoBack"/>
      <w:r>
        <w:rPr>
          <w:b/>
        </w:rPr>
      </w:r>
      <w:bookmarkEnd w:id="0"/>
      <w:r>
        <w:rPr>
          <w:rFonts w:ascii="Arial" w:hAnsi="Arial" w:cs="Arial"/>
          <w:b/>
          <w:i w:val="false"/>
          <w:spacing w:val="0"/>
          <w:sz w:val="17"/>
          <w:szCs w:val="17"/>
        </w:rPr>
      </w:r>
      <w:r>
        <w:rPr>
          <w:b/>
        </w:rPr>
      </w:r>
    </w:p>
    <w:p>
      <w:pPr>
        <w:pStyle w:val="6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 w:val="false"/>
          <w:spacing w:val="0"/>
          <w:sz w:val="24"/>
          <w:szCs w:val="18"/>
        </w:rPr>
        <w:t xml:space="preserve">«12» декабря 2024 г.                                                                                     № 666</w:t>
      </w:r>
      <w:r>
        <w:rPr>
          <w:b/>
          <w:sz w:val="24"/>
        </w:rPr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 w:val="false"/>
          <w:spacing w:val="0"/>
          <w:sz w:val="17"/>
          <w:szCs w:val="17"/>
        </w:rPr>
      </w:r>
      <w:r>
        <w:rPr>
          <w:rFonts w:ascii="Arial" w:hAnsi="Arial" w:cs="Arial"/>
          <w:i w:val="false"/>
          <w:spacing w:val="0"/>
          <w:sz w:val="17"/>
          <w:szCs w:val="17"/>
        </w:rPr>
      </w:r>
      <w:r/>
    </w:p>
    <w:p>
      <w:pPr>
        <w:pStyle w:val="677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p>
      <w:pPr>
        <w:pStyle w:val="677"/>
        <w:jc w:val="right"/>
        <w:rPr>
          <w:rFonts w:ascii="Arial" w:hAnsi="Arial" w:cs="Arial"/>
        </w:rPr>
      </w:pPr>
      <w:r>
        <w:rPr>
          <w:rFonts w:ascii="Arial" w:hAnsi="Arial" w:cs="Arial"/>
          <w:spacing w:val="20"/>
          <w:sz w:val="18"/>
          <w:szCs w:val="18"/>
          <w:u w:val="single"/>
        </w:rPr>
      </w:r>
      <w:r>
        <w:rPr>
          <w:rFonts w:ascii="Arial" w:hAnsi="Arial" w:cs="Arial"/>
          <w:spacing w:val="20"/>
          <w:sz w:val="18"/>
          <w:szCs w:val="18"/>
          <w:u w:val="single"/>
        </w:rPr>
      </w:r>
      <w:r/>
    </w:p>
    <w:tbl>
      <w:tblPr>
        <w:tblStyle w:val="690"/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218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pStyle w:val="677"/>
              <w:ind w:left="0" w:right="0" w:firstLine="0"/>
              <w:jc w:val="both"/>
              <w:rPr>
                <w:rFonts w:ascii="Times New Roman" w:hAnsi="Times New Roman" w:cs="Times New Roman" w:eastAsia="Calibri"/>
                <w:b/>
                <w:sz w:val="26"/>
                <w:szCs w:val="27"/>
              </w:rPr>
            </w:pPr>
            <w:r>
              <w:rPr>
                <w:rFonts w:ascii="Times New Roman" w:hAnsi="Times New Roman" w:cs="Times New Roman" w:eastAsia="Calibri"/>
                <w:b/>
                <w:sz w:val="26"/>
                <w:szCs w:val="28"/>
                <w:lang w:eastAsia="ru-RU"/>
              </w:rPr>
              <w:t xml:space="preserve">Об утверждении Устава муниципального казенного учреждения «Центр бухгалтерского учета»</w:t>
            </w:r>
            <w:r>
              <w:rPr>
                <w:sz w:val="26"/>
              </w:rPr>
            </w:r>
            <w:r/>
          </w:p>
          <w:p>
            <w:pPr>
              <w:pStyle w:val="677"/>
              <w:tabs>
                <w:tab w:val="center" w:pos="2355" w:leader="none"/>
                <w:tab w:val="right" w:pos="4711" w:leader="none"/>
              </w:tabs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pacing w:val="20"/>
                <w:sz w:val="26"/>
                <w:szCs w:val="18"/>
              </w:rPr>
            </w:r>
            <w:r>
              <w:rPr>
                <w:sz w:val="26"/>
              </w:rPr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pStyle w:val="677"/>
              <w:jc w:val="right"/>
              <w:rPr>
                <w:rFonts w:ascii="Arial" w:hAnsi="Arial" w:cs="Arial"/>
                <w:color w:val="FFFFFF"/>
                <w:sz w:val="26"/>
              </w:rPr>
            </w:pPr>
            <w:r>
              <w:rPr>
                <w:rFonts w:ascii="Arial" w:hAnsi="Arial" w:cs="Arial"/>
                <w:color w:val="FFFFFF"/>
                <w:spacing w:val="20"/>
                <w:sz w:val="26"/>
                <w:szCs w:val="18"/>
              </w:rPr>
            </w:r>
            <w:r>
              <w:rPr>
                <w:sz w:val="26"/>
              </w:rPr>
            </w:r>
            <w:r/>
          </w:p>
        </w:tc>
      </w:tr>
    </w:tbl>
    <w:p>
      <w:pPr>
        <w:pStyle w:val="677"/>
        <w:jc w:val="right"/>
        <w:rPr>
          <w:rFonts w:ascii="Arial" w:hAnsi="Arial" w:cs="Arial"/>
          <w:color w:val="FFFFFF"/>
          <w:sz w:val="26"/>
        </w:rPr>
      </w:pPr>
      <w:r>
        <w:rPr>
          <w:rFonts w:ascii="Arial" w:hAnsi="Arial" w:cs="Arial"/>
          <w:color w:val="FFFFFF"/>
          <w:sz w:val="26"/>
        </w:rPr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7"/>
        </w:rPr>
      </w:pP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В соответствии с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Федеральным законом от 12 января 1996 года № 7-ФЗ            «О некоммерческих организациях»,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Федеральным законом от 6 октября 2003 года   </w:t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br/>
        <w:t xml:space="preserve">в Российской Федерации», Федеральным законом от 08 августа 2001 года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           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br/>
        <w:t xml:space="preserve">№ 129-ФЗ «О государственной регистрации юридических лиц и индивидуальных предпринимателей», законом Белгородской области от 10 июня 2024 года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№ 373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  <w:br/>
        <w:t xml:space="preserve">«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О внесении изменений в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закон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района»,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решением Совета депутатов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муниципального округа от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24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сентября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2024 года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br/>
        <w:t xml:space="preserve">№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153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«О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б утверждении структуры администрации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муниципального округа»,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У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ставом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муниципального округа Белгородской области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6"/>
          <w:szCs w:val="27"/>
          <w:lang w:eastAsia="ru-RU"/>
        </w:rPr>
        <w:t xml:space="preserve"> </w:t>
      </w:r>
      <w:r>
        <w:rPr>
          <w:rFonts w:ascii="Times New Roman" w:hAnsi="Times New Roman" w:cs="Times New Roman" w:eastAsia="Calibri"/>
          <w:b/>
          <w:sz w:val="26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Calibri"/>
          <w:b/>
          <w:sz w:val="26"/>
          <w:szCs w:val="28"/>
          <w:lang w:eastAsia="ru-RU"/>
        </w:rPr>
        <w:t xml:space="preserve"> о с т а н о в л я ю: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8"/>
          <w:highlight w:val="none"/>
        </w:rPr>
      </w:pP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Утвердить Устав муниципального казенного учреждения «Центр бухгалтерского учета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в новой редакции (прилагается)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7"/>
        </w:rPr>
      </w:pPr>
      <w:r>
        <w:rPr>
          <w:rFonts w:ascii="Times New Roman" w:hAnsi="Times New Roman" w:cs="Times New Roman" w:eastAsia="Calibri"/>
          <w:sz w:val="26"/>
          <w:szCs w:val="28"/>
          <w:highlight w:val="none"/>
          <w:lang w:eastAsia="ru-RU"/>
        </w:rPr>
        <w:t xml:space="preserve">2. Признать утратившим силу пункт 2 постановления  администрации Новооскольского городского округа от 26 апреля 2019 № 246 «О создании муниципального казенного учреждения «Центр бухгалтерского учета».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7"/>
        </w:rPr>
      </w:pP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3. Директору МКУ «Центр бухгалтерского учета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» Боевой Е.В. осуществить необходимые действия, связанные с государственной регистрацией Устава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, внести изменения  в соответствующие нормативные правовые акты учреждения в связи  </w:t>
        <w:br/>
        <w:t xml:space="preserve">с переименованием.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alibri"/>
          <w:sz w:val="26"/>
          <w:szCs w:val="26"/>
          <w:lang w:eastAsia="ru-RU"/>
        </w:rPr>
        <w:t xml:space="preserve">4. </w:t>
      </w:r>
      <w:r>
        <w:rPr>
          <w:rFonts w:ascii="Times New Roman" w:hAnsi="Times New Roman" w:cs="Times New Roman" w:eastAsia="Calibri"/>
          <w:sz w:val="26"/>
          <w:szCs w:val="26"/>
          <w:lang w:eastAsia="ru-RU"/>
        </w:rPr>
        <w:t xml:space="preserve">Настоящее постановление вступает в силу после </w:t>
        <w:br/>
        <w:t xml:space="preserve">дня его официального опубликования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сетевом издании «Вперед» </w:t>
        <w:br/>
        <w:t xml:space="preserve">(no-vpered.ru) </w:t>
      </w:r>
      <w:r>
        <w:rPr>
          <w:rFonts w:ascii="Times New Roman" w:hAnsi="Times New Roman" w:cs="Times New Roman" w:eastAsia="Calibri"/>
          <w:sz w:val="26"/>
          <w:szCs w:val="26"/>
          <w:lang w:eastAsia="ru-RU"/>
        </w:rPr>
        <w:t xml:space="preserve">и подлежит размещению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(</w:t>
      </w:r>
      <w:r>
        <w:rPr>
          <w:rFonts w:ascii="Times New Roman" w:hAnsi="Times New Roman" w:cs="Times New Roman" w:eastAsia="Calibri"/>
          <w:sz w:val="26"/>
          <w:szCs w:val="28"/>
          <w:lang w:val="en-US" w:eastAsia="ru-RU"/>
        </w:rPr>
        <w:t xml:space="preserve">novyjoskol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Calibri"/>
          <w:sz w:val="26"/>
          <w:szCs w:val="28"/>
          <w:lang w:val="en-US" w:eastAsia="ru-RU"/>
        </w:rPr>
        <w:t xml:space="preserve">r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31.</w:t>
      </w:r>
      <w:r>
        <w:rPr>
          <w:rFonts w:ascii="Times New Roman" w:hAnsi="Times New Roman" w:cs="Times New Roman" w:eastAsia="Calibri"/>
          <w:sz w:val="26"/>
          <w:szCs w:val="28"/>
          <w:lang w:val="en-US" w:eastAsia="ru-RU"/>
        </w:rPr>
        <w:t xml:space="preserve">gosweb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6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6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)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в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информационно – телекоммуникационной сети «Интернет»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8"/>
          <w:highlight w:val="none"/>
          <w:lang w:eastAsia="ru-RU"/>
        </w:rPr>
      </w:pP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 исполнением постановления 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оставляю за собой</w:t>
      </w:r>
      <w:r>
        <w:rPr>
          <w:rFonts w:ascii="Times New Roman" w:hAnsi="Times New Roman" w:cs="Times New Roman" w:eastAsia="Calibri"/>
          <w:sz w:val="26"/>
          <w:szCs w:val="28"/>
          <w:lang w:eastAsia="ru-RU"/>
        </w:rPr>
        <w:t xml:space="preserve">. </w:t>
      </w:r>
      <w:r>
        <w:rPr>
          <w:sz w:val="26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8"/>
        </w:rPr>
      </w:pPr>
      <w:r>
        <w:rPr>
          <w:rFonts w:ascii="Times New Roman" w:hAnsi="Times New Roman" w:cs="Times New Roman" w:eastAsia="Calibri"/>
          <w:sz w:val="26"/>
          <w:szCs w:val="28"/>
        </w:rPr>
      </w:r>
      <w:r>
        <w:rPr>
          <w:rFonts w:ascii="Times New Roman" w:hAnsi="Times New Roman" w:cs="Times New Roman" w:eastAsia="Calibri"/>
          <w:sz w:val="26"/>
          <w:szCs w:val="28"/>
        </w:rPr>
      </w:r>
      <w:r/>
    </w:p>
    <w:p>
      <w:pPr>
        <w:pStyle w:val="677"/>
        <w:ind w:firstLine="851"/>
        <w:jc w:val="both"/>
        <w:rPr>
          <w:rFonts w:ascii="Times New Roman" w:hAnsi="Times New Roman" w:cs="Times New Roman" w:eastAsia="Calibri"/>
          <w:sz w:val="26"/>
          <w:szCs w:val="28"/>
        </w:rPr>
      </w:pPr>
      <w:r>
        <w:rPr>
          <w:rFonts w:ascii="Times New Roman" w:hAnsi="Times New Roman" w:cs="Times New Roman" w:eastAsia="Calibri"/>
          <w:sz w:val="26"/>
          <w:szCs w:val="28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6"/>
          <w:szCs w:val="28"/>
          <w:highlight w:val="none"/>
          <w:lang w:eastAsia="ru-RU"/>
        </w:rPr>
      </w:r>
      <w:r/>
    </w:p>
    <w:tbl>
      <w:tblPr>
        <w:tblW w:w="9921" w:type="dxa"/>
        <w:tblInd w:w="-317" w:type="dxa"/>
        <w:tblLayout w:type="fixed"/>
        <w:tblLook w:val="04A0" w:firstRow="1" w:lastRow="0" w:firstColumn="1" w:lastColumn="0" w:noHBand="0" w:noVBand="1"/>
      </w:tblPr>
      <w:tblGrid>
        <w:gridCol w:w="6661"/>
        <w:gridCol w:w="3260"/>
      </w:tblGrid>
      <w:tr>
        <w:trPr>
          <w:trHeight w:val="1047"/>
        </w:trPr>
        <w:tc>
          <w:tcPr>
            <w:tcW w:w="6661" w:type="dxa"/>
            <w:textDirection w:val="lrTb"/>
            <w:noWrap w:val="false"/>
          </w:tcPr>
          <w:p>
            <w:pPr>
              <w:pStyle w:val="677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Первый заместитель г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ы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Новооскольского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округа </w:t>
              <w:br/>
              <w:t xml:space="preserve">по социальной политике</w:t>
            </w:r>
            <w:r>
              <w:rPr>
                <w:sz w:val="26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77"/>
              <w:ind w:firstLine="851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                  </w:t>
            </w:r>
            <w:r>
              <w:rPr>
                <w:sz w:val="26"/>
              </w:rPr>
            </w:r>
            <w:r/>
          </w:p>
          <w:p>
            <w:pPr>
              <w:pStyle w:val="677"/>
              <w:ind w:firstLine="851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highlight w:val="none"/>
              </w:rPr>
            </w:r>
            <w:r>
              <w:rPr>
                <w:sz w:val="26"/>
              </w:rPr>
            </w:r>
            <w:r/>
          </w:p>
          <w:p>
            <w:pPr>
              <w:pStyle w:val="677"/>
              <w:ind w:firstLine="851"/>
              <w:jc w:val="right"/>
              <w:rPr>
                <w:rFonts w:ascii="Times New Roman" w:hAnsi="Times New Roman" w:cs="Times New Roman"/>
                <w:b/>
                <w:sz w:val="26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А.А. Евсеева</w:t>
            </w:r>
            <w:r>
              <w:rPr>
                <w:sz w:val="26"/>
              </w:rPr>
            </w:r>
            <w:r/>
          </w:p>
        </w:tc>
      </w:tr>
    </w:tbl>
    <w:tbl>
      <w:tblPr>
        <w:tblStyle w:val="690"/>
        <w:tblW w:w="0" w:type="auto"/>
        <w:tblInd w:w="4643" w:type="dxa"/>
        <w:tblLayout w:type="fixed"/>
        <w:tblLook w:val="04A0" w:firstRow="1" w:lastRow="0" w:firstColumn="1" w:lastColumn="0" w:noHBand="0" w:noVBand="1"/>
      </w:tblPr>
      <w:tblGrid>
        <w:gridCol w:w="521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210" w:type="dxa"/>
            <w:textDirection w:val="lrTb"/>
            <w:noWrap w:val="false"/>
          </w:tcPr>
          <w:p>
            <w:pPr>
              <w:pStyle w:val="677"/>
              <w:ind w:left="0" w:right="0" w:firstLine="0"/>
              <w:jc w:val="center"/>
              <w:rPr>
                <w:rFonts w:ascii="Times New Roman" w:hAnsi="Times New Roman" w:cs="Times New Roman" w:eastAsia="Calibri"/>
                <w:sz w:val="26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Calibri"/>
                <w:b/>
                <w:sz w:val="26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sz w:val="26"/>
                <w:highlight w:val="none"/>
                <w:lang w:eastAsia="ru-RU"/>
              </w:rPr>
            </w:r>
            <w:r/>
          </w:p>
          <w:p>
            <w:pPr>
              <w:pStyle w:val="677"/>
              <w:ind w:left="0" w:right="0" w:firstLine="0"/>
              <w:jc w:val="center"/>
              <w:rPr>
                <w:rFonts w:ascii="Times New Roman" w:hAnsi="Times New Roman" w:cs="Times New Roman" w:eastAsia="Calibri"/>
                <w:b/>
                <w:sz w:val="26"/>
                <w:highlight w:val="none"/>
                <w:lang w:eastAsia="ru-RU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Calibri"/>
                <w:b/>
                <w:sz w:val="26"/>
                <w:lang w:eastAsia="ru-RU"/>
              </w:rPr>
              <w:t xml:space="preserve">Приложение </w:t>
            </w:r>
            <w:r>
              <w:rPr>
                <w:sz w:val="26"/>
              </w:rPr>
            </w:r>
            <w:r/>
          </w:p>
          <w:p>
            <w:pPr>
              <w:pStyle w:val="677"/>
              <w:ind w:left="0" w:right="0" w:firstLine="0"/>
              <w:jc w:val="center"/>
              <w:rPr>
                <w:rFonts w:ascii="Times New Roman" w:hAnsi="Times New Roman" w:cs="Times New Roman" w:eastAsia="Calibri"/>
                <w:sz w:val="26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Calibri"/>
                <w:b/>
                <w:sz w:val="26"/>
                <w:szCs w:val="27"/>
                <w:lang w:eastAsia="ru-RU"/>
              </w:rPr>
            </w:r>
            <w:r>
              <w:rPr>
                <w:sz w:val="26"/>
              </w:rPr>
            </w:r>
            <w:r/>
          </w:p>
          <w:p>
            <w:pPr>
              <w:pStyle w:val="677"/>
              <w:ind w:left="0" w:right="0" w:firstLine="0"/>
              <w:jc w:val="center"/>
              <w:rPr>
                <w:rFonts w:ascii="Times New Roman" w:hAnsi="Times New Roman" w:cs="Times New Roman" w:eastAsia="Calibri"/>
                <w:sz w:val="26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Calibri"/>
                <w:b/>
                <w:sz w:val="26"/>
                <w:lang w:eastAsia="ru-RU"/>
              </w:rPr>
              <w:t xml:space="preserve">УТВЕРЖДЕН </w:t>
            </w:r>
            <w:r>
              <w:rPr>
                <w:sz w:val="26"/>
              </w:rPr>
            </w:r>
            <w:r/>
          </w:p>
          <w:p>
            <w:pPr>
              <w:pStyle w:val="677"/>
              <w:ind w:left="0" w:right="0" w:firstLine="0"/>
              <w:jc w:val="center"/>
              <w:rPr>
                <w:rFonts w:ascii="Times New Roman" w:hAnsi="Times New Roman" w:cs="Times New Roman" w:eastAsia="Calibri"/>
                <w:sz w:val="26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Calibri"/>
                <w:b/>
                <w:sz w:val="26"/>
                <w:lang w:eastAsia="ru-RU"/>
              </w:rPr>
              <w:t xml:space="preserve">постановлением администрации Новооскольского муниципального округа Белгородской области</w:t>
            </w:r>
            <w:r>
              <w:rPr>
                <w:sz w:val="26"/>
              </w:rPr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rFonts w:ascii="Times New Roman" w:hAnsi="Times New Roman" w:cs="Times New Roman" w:eastAsia="Calibri"/>
                <w:b/>
                <w:sz w:val="26"/>
                <w:lang w:eastAsia="ru-RU"/>
              </w:rPr>
              <w:t xml:space="preserve">      от 12 декабря 2024 года № 666</w:t>
            </w:r>
            <w:r>
              <w:rPr>
                <w:rFonts w:ascii="Times New Roman" w:hAnsi="Times New Roman" w:cs="Times New Roman" w:eastAsia="Times New Roman"/>
                <w:b/>
                <w:sz w:val="28"/>
                <w:lang w:eastAsia="ru-RU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7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7"/>
          <w:szCs w:val="28"/>
          <w:lang w:eastAsia="ru-RU"/>
        </w:rPr>
      </w:r>
      <w:r>
        <w:rPr>
          <w:sz w:val="27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7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7"/>
          <w:szCs w:val="28"/>
          <w:lang w:eastAsia="ru-RU"/>
        </w:rPr>
        <w:t xml:space="preserve">УСТАВ</w:t>
      </w:r>
      <w:r>
        <w:rPr>
          <w:sz w:val="27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7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7"/>
          <w:szCs w:val="28"/>
          <w:lang w:eastAsia="ru-RU"/>
        </w:rPr>
        <w:t xml:space="preserve">муниципального казенного учреждения</w:t>
      </w:r>
      <w:r>
        <w:rPr>
          <w:sz w:val="27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sz w:val="27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7"/>
          <w:szCs w:val="28"/>
          <w:lang w:eastAsia="ru-RU"/>
        </w:rPr>
        <w:t xml:space="preserve">«Центр бухгалтерского учета»</w:t>
      </w:r>
      <w:r>
        <w:rPr>
          <w:sz w:val="27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pacing w:val="2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b/>
          <w:sz w:val="27"/>
          <w:szCs w:val="28"/>
          <w:lang w:eastAsia="ru-RU"/>
        </w:rPr>
        <w:t xml:space="preserve">новая редакция</w:t>
      </w:r>
      <w:r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</w:r>
      <w:r/>
    </w:p>
    <w:p>
      <w:pPr>
        <w:jc w:val="left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pacing w:val="2"/>
          <w:sz w:val="28"/>
          <w:szCs w:val="28"/>
          <w:highlight w:val="none"/>
          <w:lang w:eastAsia="ru-RU"/>
        </w:rPr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</w:rPr>
        <w:outlineLvl w:val="2"/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1. Общие положения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1.1. Муниципальное казенное учреждение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Центр бухгалтерского учета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(далее - Учреждение) создано в соответствии с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hyperlink r:id="rId12" w:tooltip="http://docs.cntd.ru/document/9027690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Гражданским кодексом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 </w:t>
      </w:r>
      <w:hyperlink r:id="rId13" w:tooltip="http://docs.cntd.ru/document/9015223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Федеральным законом от 12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 января 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1996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 г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ода 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 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№ 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7-ФЗ 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«</w:t>
        </w:r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О некоммерческих организациях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на основании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остановления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городского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от 27 февраля 2019 года №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130 </w:t>
        <w:br/>
        <w:t xml:space="preserve">«Об утверждении п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еречня органов местного самоуправления, территориальных администраций, муниципальных учреждений, Новооскольской территориальной избирательной комиссии с целью создания муниципального казенного учреждения «Центр бухгалтерского учета»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1.2. Учреждение является некоммерческой организацией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1.3. В своей деятельности Учреждение руководствуется </w:t>
      </w:r>
      <w:hyperlink r:id="rId14" w:tooltip="http://docs.cntd.ru/document/9004937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Конституцией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феде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законами и нормативными правовыми актами Российской Федерации, законами и нормативными правовыми актами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Белгородской области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hyperlink r:id="rId15" w:tooltip="http://docs.cntd.ru/document/444823577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Уставом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 Белгородской области,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настоящим Уставом.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1.4.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Учредителем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Учреждения является </w:t>
      </w:r>
      <w:r>
        <w:rPr>
          <w:rFonts w:ascii="Times New Roman" w:hAnsi="Times New Roman" w:cs="Times New Roman" w:eastAsia="Times New Roman"/>
          <w:bCs/>
          <w:sz w:val="27"/>
          <w:szCs w:val="28"/>
          <w:lang w:eastAsia="ru-RU"/>
        </w:rPr>
        <w:t xml:space="preserve">Новооскольский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муниципальный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</w:t>
      </w:r>
      <w:r>
        <w:rPr>
          <w:rFonts w:ascii="Times New Roman" w:hAnsi="Times New Roman" w:cs="Times New Roman"/>
          <w:sz w:val="27"/>
          <w:szCs w:val="28"/>
        </w:rPr>
        <w:t xml:space="preserve"> Белгородской области в лице администрации Новооскольского </w:t>
      </w:r>
      <w:r>
        <w:rPr>
          <w:rFonts w:ascii="Times New Roman" w:hAnsi="Times New Roman" w:cs="Times New Roman"/>
          <w:sz w:val="27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8"/>
        </w:rPr>
        <w:t xml:space="preserve"> округа Белгородской области (далее - Учредитель).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Функции и полномочия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чредителя Учреждения исполняет управление финансов и бюджетной политики администрации </w:t>
      </w:r>
      <w:r>
        <w:rPr>
          <w:rFonts w:ascii="Times New Roman" w:hAnsi="Times New Roman" w:cs="Times New Roman" w:eastAsia="Times New Roman"/>
          <w:bCs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округа Белгородской области в пределах его компетенции </w:t>
        <w:br/>
        <w:t xml:space="preserve">в соответствии с законами, иными нормативно-правовыми актами, настоящим Уставом.</w:t>
      </w:r>
      <w:r>
        <w:rPr>
          <w:sz w:val="27"/>
        </w:rPr>
      </w:r>
      <w:r/>
    </w:p>
    <w:p>
      <w:pPr>
        <w:ind w:left="0" w:right="0" w:firstLine="709"/>
        <w:jc w:val="both"/>
        <w:spacing w:after="0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 xml:space="preserve">Собственником имущества Учреждения является Новооскольский </w:t>
      </w:r>
      <w:r>
        <w:rPr>
          <w:rFonts w:ascii="Times New Roman" w:hAnsi="Times New Roman" w:cs="Times New Roman"/>
          <w:sz w:val="27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7"/>
          <w:szCs w:val="28"/>
        </w:rPr>
        <w:t xml:space="preserve"> округ Белгородской области.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Организационно-правовая форма Учреждения: муниципальное казенное учреждение.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Полное наименование Учреждения: мун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иципальное казенное учреждение «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Цент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 бухгалтерского учета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Сокращенное наименование Учреждения: МКУ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Ц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ентр бухгалтерского учета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Место нахождения Учреждения: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Белгородская область, г. Новый Оскол, ул.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Мая, д. 2.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Учрежд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ение является юридическим лицом,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имеет самостоятельный баланс, лицевые счета,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круглую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печать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 штампы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со своим наименованием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Учреждение от своего имени приобретает имущественные </w:t>
        <w:br/>
        <w:t xml:space="preserve">и не имущественные права, несет обязанности, выступает истцом, ответчиком </w:t>
        <w:br/>
        <w:t xml:space="preserve">и третьим лицом в суде в соответствии с действующим законодательством Российской Федерации.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1.9. Права юридического лица возникают у Учреждения с момента его государственной регистрации.</w:t>
      </w:r>
      <w:r>
        <w:rPr>
          <w:sz w:val="27"/>
        </w:rPr>
      </w:r>
      <w:r/>
    </w:p>
    <w:p>
      <w:pPr>
        <w:ind w:firstLine="567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pacing w:val="2"/>
          <w:sz w:val="27"/>
          <w:szCs w:val="28"/>
          <w:highlight w:val="none"/>
          <w:lang w:eastAsia="ru-RU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</w:rPr>
        <w:outlineLvl w:val="2"/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2. Предмет, цели и виды деятельности Учреждения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  <w:outlineLvl w:val="2"/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2.1. Учреждение осуществляет свою деятельность в соответствии </w:t>
        <w:br/>
        <w:t xml:space="preserve">с предметом и целями деятельности, определенными законодательством </w:t>
        <w:br/>
        <w:t xml:space="preserve">и настоящим Уставом.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2.2. Предметом деятельности Учреждения является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бюджетн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ый (бухгалтерский)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учет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органах местного самоуправления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территориальных администрациях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муниципальных учреждени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ях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 иных организаци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ях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2.3. Целями создания Учреждения являются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 xml:space="preserve">выполнение работ по ведению бюджетного (бухгалтерского) учета и формирование полной, достоверной, своевременной и качественной бюджетной (бухгалтерской) отчетности органов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cs="Times New Roman"/>
          <w:sz w:val="27"/>
          <w:szCs w:val="28"/>
        </w:rPr>
        <w:t xml:space="preserve">, территориальных администраций</w:t>
      </w:r>
      <w:r>
        <w:rPr>
          <w:rFonts w:ascii="Times New Roman" w:hAnsi="Times New Roman" w:cs="Times New Roman"/>
          <w:sz w:val="27"/>
          <w:szCs w:val="28"/>
        </w:rPr>
        <w:t xml:space="preserve">,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муниципальных учреждений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 иных организаций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2.4. Для достижения указанных целей Учреждение осуществляет следующие виды деятельности: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а) предварительный контроль за своевременным и правильным оформлением унифицированных форм первичной учетной документации </w:t>
        <w:br/>
        <w:t xml:space="preserve">и законностью совершаемых операций;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б) контроль за рациональным, экономным и эффективным расходованием бюджетных средств в соответствии с их целевым назначением;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в) начисление и выплата заработной платы, своевременное проведение расчетов с сотрудниками </w:t>
      </w:r>
      <w:r>
        <w:rPr>
          <w:rFonts w:ascii="Times New Roman" w:hAnsi="Times New Roman" w:cs="Times New Roman"/>
          <w:sz w:val="27"/>
          <w:szCs w:val="28"/>
        </w:rPr>
        <w:t xml:space="preserve">органов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cs="Times New Roman"/>
          <w:sz w:val="27"/>
          <w:szCs w:val="28"/>
        </w:rPr>
        <w:t xml:space="preserve">, территориальных администраций</w:t>
      </w:r>
      <w:r>
        <w:rPr>
          <w:rFonts w:ascii="Times New Roman" w:hAnsi="Times New Roman" w:cs="Times New Roman"/>
          <w:sz w:val="27"/>
          <w:szCs w:val="28"/>
        </w:rPr>
        <w:t xml:space="preserve">,</w:t>
      </w:r>
      <w:r>
        <w:rPr>
          <w:rFonts w:ascii="Times New Roman" w:hAnsi="Times New Roman" w:cs="Times New Roman"/>
          <w:sz w:val="27"/>
          <w:szCs w:val="28"/>
        </w:rPr>
        <w:t xml:space="preserve"> муниципальных учреждений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 иных организаций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г) организация расчетов с бюджетом и государственными внебюджетными фондами;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д) составление и представление в установленные сроки отчетности в налоговые органы, внебюджетные фонды, органы статистики, составление </w:t>
        <w:br/>
        <w:t xml:space="preserve">и представление иных установленных законодательством форм отчетности;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е) обеспечение своевременного и правильного отражения на счетах бюджетного учета и в отчетности фактов хозяйственной жизни </w:t>
      </w:r>
      <w:r>
        <w:rPr>
          <w:rFonts w:ascii="Times New Roman" w:hAnsi="Times New Roman" w:cs="Times New Roman"/>
          <w:sz w:val="27"/>
          <w:szCs w:val="28"/>
        </w:rPr>
        <w:t xml:space="preserve">органов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cs="Times New Roman"/>
          <w:sz w:val="27"/>
          <w:szCs w:val="28"/>
        </w:rPr>
        <w:t xml:space="preserve">, территориальных администраций</w:t>
      </w:r>
      <w:r>
        <w:rPr>
          <w:rFonts w:ascii="Times New Roman" w:hAnsi="Times New Roman" w:cs="Times New Roman"/>
          <w:sz w:val="27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8"/>
        </w:rPr>
        <w:t xml:space="preserve">муниципальных учреждений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br/>
        <w:t xml:space="preserve">и иных организаций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ж) организация расчетов с контрагентами по контрактам и иным договорам, заключенным </w:t>
      </w:r>
      <w:r>
        <w:rPr>
          <w:rFonts w:ascii="Times New Roman" w:hAnsi="Times New Roman" w:cs="Times New Roman"/>
          <w:sz w:val="27"/>
          <w:szCs w:val="28"/>
        </w:rPr>
        <w:t xml:space="preserve">органами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cs="Times New Roman"/>
          <w:sz w:val="27"/>
          <w:szCs w:val="28"/>
        </w:rPr>
        <w:t xml:space="preserve">, территориальными а</w:t>
      </w:r>
      <w:r>
        <w:rPr>
          <w:rFonts w:ascii="Times New Roman" w:hAnsi="Times New Roman" w:cs="Times New Roman"/>
          <w:sz w:val="27"/>
          <w:szCs w:val="28"/>
        </w:rPr>
        <w:t xml:space="preserve">дминистрациями, </w:t>
      </w:r>
      <w:r>
        <w:rPr>
          <w:rFonts w:ascii="Times New Roman" w:hAnsi="Times New Roman" w:cs="Times New Roman"/>
          <w:sz w:val="27"/>
          <w:szCs w:val="28"/>
        </w:rPr>
        <w:t xml:space="preserve">муниципальными учреждениями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 иными организациями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з) организация налогового учета расходов, имущества и иных обязательств;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и) участие в проведении инвентаризации имущества и финансовых обязательств, своевременное и правильное оформление результатов инвентаризации и отражение их в учете;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к) составление и ведение смет расходов (бюджетных смет)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 xml:space="preserve">органов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местного самоуправления</w:t>
      </w:r>
      <w:r>
        <w:rPr>
          <w:rFonts w:ascii="Times New Roman" w:hAnsi="Times New Roman" w:cs="Times New Roman"/>
          <w:sz w:val="27"/>
          <w:szCs w:val="28"/>
        </w:rPr>
        <w:t xml:space="preserve">,</w:t>
      </w:r>
      <w:r>
        <w:rPr>
          <w:rFonts w:ascii="Times New Roman" w:hAnsi="Times New Roman" w:cs="Times New Roman"/>
          <w:sz w:val="27"/>
          <w:szCs w:val="28"/>
        </w:rPr>
        <w:t xml:space="preserve"> территориальных администраций,</w:t>
      </w:r>
      <w:r>
        <w:rPr>
          <w:rFonts w:ascii="Times New Roman" w:hAnsi="Times New Roman" w:cs="Times New Roman"/>
          <w:sz w:val="27"/>
          <w:szCs w:val="28"/>
        </w:rPr>
        <w:t xml:space="preserve"> муниципальных учреждений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) консультирование руководителей по вопросам ведения бюджетного учета, соблюдени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я действующего законодательства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  <w:lang w:eastAsia="ru-RU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3. Права и обязанности Учреждения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3.1. Учреждение осуществляет свою деятельность в пределах, установленных законодательством Российской Федерации, Белгородской области и настоящим Уставом.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3.2. Учреждение строит свои отношения с другими юридическими </w:t>
        <w:br/>
        <w:t xml:space="preserve">и физическими лицами во всех сферах деятельности на основе договоров, соглашений, муниципальных контрактов.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3.3. Для достижения уставных целей Учреждение имеет право: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заключать муниципальные контракты (договоры)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с юридическими лицами и физическими лицами на выполнение работ и оказание услуг </w:t>
        <w:br/>
        <w:t xml:space="preserve">в соответствии с целями деятельности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приобретать или арендовать основные и оборотные средства за счет </w:t>
        <w:br/>
        <w:t xml:space="preserve">и в пределах бюджетной сметы в соответствии с действующим законодательством;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осуществлять в отношении закрепленного за ним на праве оперативного управления имущества право владения, пользов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ния этим имуществом </w:t>
        <w:br/>
        <w:t xml:space="preserve">в пределах, установленных законом, в соответствии с целями своей деятельности, назначением этого имущества и право распоряжения этим имуществом с согласия Учредителя (с учетом требований, предусмотренных действующим законодательством);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осуществлять материально-техническое обеспечение уставной деятельности;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совершать в рамках действующего законодательства иные действия, соответствующие уставным целям деятельности Учреждения </w:t>
        <w:br/>
        <w:t xml:space="preserve">(при необходимости права Учреждения в зависимости от сферы деятельности конкретизируются).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3.4. Учреждение обязано: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планировать свою деятельность и определять перспективы развития Учреждения по направлениям своей деятельности;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отчитываться перед Учредителем за состояние и использование муниципального имущества и денежных средств;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своевременно и в полном объеме выплату работникам Учреждения заработной платы в соответствии с законодательством;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работникам Учреждения безопасные условия труда и нести ответственность в установленном порядке за вред, причиненный их здоровью </w:t>
        <w:br/>
        <w:t xml:space="preserve">и трудоспособности в период исполнения ими трудовых обязанностей;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нести ответственность за обеспечение целевого использования бюджетных средств и принимать меры по возмещению или возврату в бюджет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использованны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нецелевым образом средств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в полном объеме;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осуществлять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бюджетный (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бухгалтерский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учет в соответствии </w:t>
        <w:br/>
        <w:t xml:space="preserve">с требованиями действующего законодательства, вести статистическую отчетность в установленном порядке, представлять информацию о своей деятел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ьности налогов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ым органам и иным лицам в соответствии </w:t>
        <w:br/>
        <w:t xml:space="preserve">с законодательством Российской Федерации, отчитываться о результатах деятельности в порядке и сроки, установленные Учредителем, в пределах, установленных законодательством Российской Федерации и Белгородской области;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выполнение муниципальных функций в целях обеспечения реализации предусмотренных законодательством Российской Федерации полномочий Учредителя;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планировать деятельность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своевременно представлять Учредителю необходимую документацию для утверждения бюджетной сметы;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выполнение мероприятий по энергосбережению, гражданской обороне, противопожарной безопасности и мобилизационной подготовке в соответствии с законодательством и правовыми актами Российской Федерации и Белгородской области;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защиту информации конфиденциального характера (включая персональные данные), учет и сохранность документов постоянного хранения и своевременную передачу их на государственное хранение при ликвидации или реорганизации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исполнять иные обязанности, предусмотренные действующим законодательством.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. Имущество и финансовое обеспечение деятельности Учреждения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  <w:outlineLvl w:val="2"/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Имущество Учреждения является муниципальной собственностью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 и закрепляется за ним на праве оперативного управления.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.2. Учреждение не вправе отчуждать либо иным способом распоряжаться имуществом без согласия собственника имущества.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.3.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Источниками формирования имущества Учреждения являются: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имущество, переданное Учреждению в установленном порядке Учредителем;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иные источники, не запрещенные законо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дательством Российской Федерации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.4. При осуществлении права оперативного управления имуществом Учреждение обязано: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эффективно использовать имущество;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обеспечивать сохранность и использование имущества строго по целевому назначению;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sz w:val="27"/>
        </w:rPr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не допускать ухудшения технического состояния имущества </w:t>
        <w:br/>
        <w:t xml:space="preserve">(это требование не распространяется на ухудшения, связанные с нормативным износом этого имущества в процессе эксплуатации);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осуществлять капитальный и текущий ремонт имущества в пределах бюджетной сметы;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начислять амортизационные отчисления;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представлять имущество к учету в реестре муниципальной собственности в установленном порядке.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.5. Имущество, закрепленное за Учреждением на праве оперативного управления, отражается на балансе Учреждения в порядке, установленном действующим законодательством.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.6. Собственник имущества вправе изъять излишнее, неиспользуемое или используемое не по назначению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мущество, закрепленное им за Учреждением либо приобретенное Учреждением за счет средств, выделенных ему собственником на приобретение этого имущества. Имуществом, изъятым </w:t>
        <w:br/>
        <w:t xml:space="preserve">у Учреждения, собственник этого имущества вправе распорядиться по своему усмотрению.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.7.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 в установленном законодательством порядке.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Источниками финансового обеспечения Учреждения являются: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редства, выделяемые из бюджета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Белгородской области соглас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 утвержденной бюджетной смете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ные источники, не противоречащие законодательству Российской Федерации.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Финансовое обеспечение деятельности Учреждения осуществляется </w:t>
        <w:br/>
        <w:t xml:space="preserve">за счет средств бюджета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Белгородской области на основании бюджетной сметы.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Учреждение осуществляет операции с бюджетными средствами через лицевые счета, открытые ему 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управлении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финансов 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бюджетной политики администрации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 Белгородской области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а также в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органах Федерального казначейства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в соответствии </w:t>
        <w:br/>
        <w:t xml:space="preserve">с положениями </w:t>
      </w:r>
      <w:hyperlink r:id="rId16" w:tooltip="http://docs.cntd.ru/document/901714433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Бюджетного кодекса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Заключение и оплата Учреждением муниципальных контрактов, иных договоров, подлежащих исполнению за счет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средств бюджета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 Белгородской области,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производится в пределах доведенных ему лимитов бюджетных обязательств и с учетом принятых </w:t>
        <w:br/>
        <w:t xml:space="preserve">и неисполненных обязательств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В случае уменьшения Учреждению как получателю бюджетных средств главным распорядителем бюджетных средств ранее доведенных лимитов бюджетных обязательств, приводящего к невозможности исполнения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чреждением обязательств, вытекающих из заключенных им муниципальных контрактов, иных договоров, Учреждение должно обеспечить согласование </w:t>
        <w:br/>
        <w:t xml:space="preserve">в соответствии с закон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муниципальных контрактов, в том числе по цене и (или) срокам их исполнения и (или) количеству (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объему) товара (работы, услуги)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Учреждение обеспечивает исполнение денежных обязательств, указанных в исполнительн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ых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документ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в соответствии с </w:t>
      </w:r>
      <w:hyperlink r:id="rId17" w:tooltip="http://docs.cntd.ru/document/901714433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lang w:eastAsia="ru-RU"/>
          </w:rPr>
          <w:t xml:space="preserve">Бюджетным кодексом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Учреждение не вправе: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выступать учредителем (участником) других юридических лиц;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получать и предоставлять кредиты (займы), приобретать ценные бумаги;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совершать сделки, возможным последствием которых является отчуждение или обременение имущества, закрепленного за ним на праве оперативного управления.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Субсидии и бюджетные кредиты Учреждению не предоставляются.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. Управление Учреждением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.1. Управление Учреждением осуществляется в соответствии </w:t>
        <w:br/>
        <w:t xml:space="preserve">с законодательством Российской Федерации и настоящим Уставом.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.2. К функциям и полномочиям Учредителя относятся: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утверждение Устава Учреждения, а также вносимых в него изменений;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назначение руководителя Учреждения и освобождение его от должности;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осуществление финансового обеспечения деятельности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законодательством Российской Федерации;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осуществление контроля деятельности Учреждения в соответствии </w:t>
        <w:br/>
        <w:t xml:space="preserve">с действующим законодательством;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утверждение структуры Учреждения и внесение в неё изменений;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согласование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штатного расписания Учреждения и внесение в него изменений;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проведение процедур реорганизации, изменения типа и ликвидации Учреждения в порядке, определенном правовыми актами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Белгородской области;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рассмотрение обращений Учреждения о согласовании сделок </w:t>
        <w:br/>
        <w:t xml:space="preserve">с имуществом, закрепленным  на праве оперативного управления </w:t>
        <w:br/>
        <w:t xml:space="preserve">за Учреждением;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осуществление иных функций и полномочий Учредителя, установленных законодательством Российской Федерации, нормативными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правовыми актами Белгородской области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, органов местного самоуправления Новооскольского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муниципального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округа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Белгородской области.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.3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Управление Учреждением осуществляет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директор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Учреждения (д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алее - Руководитель Учреждения)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Отношения по регулированию труда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уководителя Учреждения оформляются трудовым договором, заключенным между Учредителем </w:t>
        <w:br/>
        <w:t xml:space="preserve">и Руководителем после назначения последнего на должность.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К компетенции Руководителя Учреждения относятся вопросы осуществления текущего руководства деятельностью Учреждения, </w:t>
        <w:br/>
        <w:t xml:space="preserve">за исключением вопросов, отнесенных законодательством и настоящим Уставом к компетенции Учредителя.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.6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Руководитель Учреждения по вопросам, отнесенным законодательством Российской Федерации к его компетенции, действует </w:t>
        <w:br/>
        <w:t xml:space="preserve">на принципах единоначалия.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.7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Руководитель Учреждения должен действовать в интересах представляемого им Учреждения добросовестно и разумно.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.8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Руководитель Учреждения выполняет следующие функции </w:t>
        <w:br/>
        <w:t xml:space="preserve">и обязанности по организации и обеспечению деятельности Учреждения: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- действует без доверенности от имени Учреждения, представляет его интересы в государственных, муниципальных и иных органах, учреждениях </w:t>
        <w:br/>
        <w:t xml:space="preserve">и организациях, в судебных органах;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- </w:t>
      </w:r>
      <w:bookmarkStart w:id="1" w:name="_Hlk530488916"/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по согласованию с Учредителем </w:t>
      </w:r>
      <w:bookmarkEnd w:id="1"/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определяет приоритетные направления деятельности Учреждения;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в пределах, установленных законом и настоящим Уставом, распоряжается имуществом Учреждения, заключает договоры, выдает доверенности;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открывает лицевые счета Учреждения в установленном порядке, пользуется правом распоряжения денежными средствами в установленном порядке;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разрабатывает структуру Учреждения и вносит в неё изменения;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утверждает штатное расп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исание Учреждения и вносит в него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изменения;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принимает на работу и увольняет с работы работников Учреждения, заключает с ними трудовые договоры, налагает взыскания и поощрения в соответствии с законодательством Российской Федерации о труде;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- ус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танавливает работникам Учреждения заработную плату, в том числе надбавки и доплаты к должностным окладам, порядок и размеры премирования. Надбавки, доплаты и премии устанавливаются в соответствии с Положением об условиях оплаты труда работников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- в пределах своей компетенции издает локальные нормативные акты, распоряжения, приказы и дает указания, обязательные для исполнения все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ами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Учреждения;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устанавливает порядок и обеспечивает условия работы с персональными данными работников Учреждения, несет персональную ответственность за их разглашение;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осуществляет иные полномочия, установленные законодательством. 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.9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Руководитель Учреждения несет персональную ответственность за: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ненадлежащее выполнение возложенных на него обязанностей;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неисполнение распоряжений и поручений Учредителя;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сохранность денежных средств, материальных ценностей и имущества Учреждения;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- непредставление и (или) представление Учредителю недостоверных </w:t>
        <w:br/>
        <w:t xml:space="preserve">и (или) неполных сведений об имуществе, являющимся муниципальной собственностью и находящимся в оперативном управлении Учреждения.</w:t>
      </w:r>
      <w:r>
        <w:rPr>
          <w:sz w:val="27"/>
        </w:rPr>
      </w:r>
      <w:r/>
    </w:p>
    <w:p>
      <w:pPr>
        <w:ind w:left="0" w:right="0"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5.10. Руководитель Учрежде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н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ия несет полную материальную ответственность за прямой действительный ущерб, причиненный Учреждению, </w:t>
        <w:br/>
        <w:t xml:space="preserve">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В случаях, предусмотренных законодательством, Руководитель Учреждения возмещает Учреждению убытки, причиненные его виновными действиями (бездействием).</w:t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6. Реорганизация, изменение типа и ликвидация Учреждения</w:t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highlight w:val="none"/>
          <w:lang w:eastAsia="ru-RU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6.1. Реорганизация, изменение типа и ликвидация Учреждения осуществляется в порядке, установленном законодательством Российской Федерации или по решению суда.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6.2. Реорганизация Учреждения может быть осуществлена в форме слияния, присоединения, выделения, разделения, преобразования.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6.3. При реорганизации Учреждения вносятся необходимые изменения в Устав и Единый государственный реестр юридических лиц.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Реорганизация влечет за собой переход прав и обязанностей Учреждения к его правопреемнику в соответствии с законодательством Российской Федерации.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При реорганизации 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 Учреждения.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4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Принятие решения о ликвидации Учреждения осуществляется </w:t>
        <w:br/>
        <w:t xml:space="preserve">в порядке, установленном </w:t>
      </w:r>
      <w:bookmarkStart w:id="2" w:name="_Hlk530488997"/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муниципальными правовыми актами</w:t>
      </w:r>
      <w:bookmarkEnd w:id="2"/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собственнику имущества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6.6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 Сведения, составляющие государственную тайну, при ликвидации Учреждения подлежат защите в порядке, установленном законодательством </w:t>
        <w:br/>
        <w:t xml:space="preserve">о государственной тайне.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6.7.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При прекращении деятельности Учреждения (кроме ликвидации), все документы (управленческие, финансово-хозяйственные, по личному составу </w:t>
        <w:br/>
        <w:t xml:space="preserve">и другие) передаются правопреемнику (правопреемникам). При ликвидации Учреждения документы постоянного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х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ранения, имеющие научно-историческое значение, документы по личному составу передаются на хранение </w:t>
        <w:br/>
        <w:t xml:space="preserve">в муниципальный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  <w:t xml:space="preserve">7. Порядок внесения изменений в Устав Учреждения</w:t>
      </w:r>
      <w:r>
        <w:rPr>
          <w:sz w:val="27"/>
        </w:rPr>
      </w:r>
      <w:r/>
    </w:p>
    <w:p>
      <w:pPr>
        <w:ind w:firstLine="709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spacing w:val="2"/>
          <w:sz w:val="27"/>
          <w:szCs w:val="28"/>
        </w:rPr>
        <w:outlineLvl w:val="2"/>
      </w:pPr>
      <w:r>
        <w:rPr>
          <w:rFonts w:ascii="Times New Roman" w:hAnsi="Times New Roman" w:cs="Times New Roman" w:eastAsia="Times New Roman"/>
          <w:b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7.1. Изменения в Устав Учреждения вносятся в порядке, установленном действующим законодательством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  <w:t xml:space="preserve">.</w:t>
      </w:r>
      <w:r>
        <w:rPr>
          <w:sz w:val="27"/>
        </w:rPr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pacing w:val="2"/>
          <w:sz w:val="27"/>
          <w:szCs w:val="28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lang w:eastAsia="ru-RU"/>
        </w:rPr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425" w:right="567" w:bottom="39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61858218"/>
      <w:docPartObj>
        <w:docPartGallery w:val="Page Numbers (Top of Page)"/>
        <w:docPartUnique w:val="true"/>
      </w:docPartObj>
      <w:rPr/>
    </w:sdtPr>
    <w:sdtContent>
      <w:p>
        <w:pPr>
          <w:pStyle w:val="83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37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9">
    <w:name w:val="Heading 1 Char"/>
    <w:basedOn w:val="834"/>
    <w:link w:val="658"/>
    <w:uiPriority w:val="9"/>
    <w:rPr>
      <w:rFonts w:ascii="Arial" w:hAnsi="Arial" w:cs="Arial" w:eastAsia="Arial"/>
      <w:sz w:val="40"/>
      <w:szCs w:val="40"/>
    </w:rPr>
  </w:style>
  <w:style w:type="paragraph" w:styleId="660">
    <w:name w:val="Heading 2"/>
    <w:basedOn w:val="833"/>
    <w:next w:val="833"/>
    <w:link w:val="6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1">
    <w:name w:val="Heading 2 Char"/>
    <w:basedOn w:val="834"/>
    <w:link w:val="660"/>
    <w:uiPriority w:val="9"/>
    <w:rPr>
      <w:rFonts w:ascii="Arial" w:hAnsi="Arial" w:cs="Arial" w:eastAsia="Arial"/>
      <w:sz w:val="34"/>
    </w:rPr>
  </w:style>
  <w:style w:type="paragraph" w:styleId="662">
    <w:name w:val="Heading 3"/>
    <w:basedOn w:val="833"/>
    <w:next w:val="833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3">
    <w:name w:val="Heading 3 Char"/>
    <w:basedOn w:val="834"/>
    <w:link w:val="662"/>
    <w:uiPriority w:val="9"/>
    <w:rPr>
      <w:rFonts w:ascii="Arial" w:hAnsi="Arial" w:cs="Arial" w:eastAsia="Arial"/>
      <w:sz w:val="30"/>
      <w:szCs w:val="30"/>
    </w:rPr>
  </w:style>
  <w:style w:type="paragraph" w:styleId="664">
    <w:name w:val="Heading 4"/>
    <w:basedOn w:val="833"/>
    <w:next w:val="833"/>
    <w:link w:val="6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5">
    <w:name w:val="Heading 4 Char"/>
    <w:basedOn w:val="834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7">
    <w:name w:val="Heading 5 Char"/>
    <w:basedOn w:val="834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9">
    <w:name w:val="Heading 6 Char"/>
    <w:basedOn w:val="834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1">
    <w:name w:val="Heading 7 Char"/>
    <w:basedOn w:val="834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3">
    <w:name w:val="Heading 8 Char"/>
    <w:basedOn w:val="834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5">
    <w:name w:val="Heading 9 Char"/>
    <w:basedOn w:val="834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List Paragraph"/>
    <w:basedOn w:val="833"/>
    <w:qFormat/>
    <w:uiPriority w:val="34"/>
    <w:pPr>
      <w:contextualSpacing w:val="true"/>
      <w:ind w:left="720"/>
    </w:pPr>
  </w:style>
  <w:style w:type="paragraph" w:styleId="677">
    <w:name w:val="No Spacing"/>
    <w:qFormat/>
    <w:uiPriority w:val="1"/>
    <w:pPr>
      <w:spacing w:lineRule="auto" w:line="240" w:after="0" w:before="0"/>
    </w:pPr>
  </w:style>
  <w:style w:type="paragraph" w:styleId="678">
    <w:name w:val="Title"/>
    <w:basedOn w:val="833"/>
    <w:next w:val="833"/>
    <w:link w:val="6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qFormat/>
    <w:uiPriority w:val="11"/>
    <w:rPr>
      <w:sz w:val="24"/>
      <w:szCs w:val="24"/>
    </w:rPr>
    <w:pPr>
      <w:spacing w:after="200" w:before="200"/>
    </w:p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qFormat/>
    <w:uiPriority w:val="29"/>
    <w:rPr>
      <w:i/>
    </w:rPr>
    <w:pPr>
      <w:ind w:left="720" w:right="720"/>
    </w:p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7"/>
    <w:uiPriority w:val="99"/>
  </w:style>
  <w:style w:type="character" w:styleId="687">
    <w:name w:val="Footer Char"/>
    <w:basedOn w:val="834"/>
    <w:link w:val="839"/>
    <w:uiPriority w:val="99"/>
  </w:style>
  <w:style w:type="paragraph" w:styleId="688">
    <w:name w:val="Caption"/>
    <w:basedOn w:val="833"/>
    <w:next w:val="8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9">
    <w:name w:val="Caption Char"/>
    <w:basedOn w:val="688"/>
    <w:link w:val="839"/>
    <w:uiPriority w:val="99"/>
  </w:style>
  <w:style w:type="table" w:styleId="690">
    <w:name w:val="Table Grid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9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0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1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2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3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4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5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6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9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2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4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5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6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7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8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9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0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2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3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4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5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6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7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8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6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7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8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9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0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1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2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3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4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5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6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7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8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9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0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1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2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3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4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5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rPr>
      <w:sz w:val="18"/>
    </w:rPr>
    <w:pPr>
      <w:spacing w:lineRule="auto" w:line="240" w:after="40"/>
    </w:p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rPr>
      <w:sz w:val="20"/>
    </w:rPr>
    <w:pPr>
      <w:spacing w:lineRule="auto" w:line="240" w:after="0"/>
    </w:p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Header"/>
    <w:basedOn w:val="833"/>
    <w:link w:val="83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38" w:customStyle="1">
    <w:name w:val="Верхний колонтитул Знак"/>
    <w:basedOn w:val="834"/>
    <w:link w:val="837"/>
    <w:uiPriority w:val="99"/>
  </w:style>
  <w:style w:type="paragraph" w:styleId="839">
    <w:name w:val="Footer"/>
    <w:basedOn w:val="833"/>
    <w:link w:val="84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40" w:customStyle="1">
    <w:name w:val="Нижний колонтитул Знак"/>
    <w:basedOn w:val="834"/>
    <w:link w:val="839"/>
    <w:uiPriority w:val="99"/>
  </w:style>
  <w:style w:type="character" w:styleId="841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42">
    <w:name w:val="Balloon Text"/>
    <w:basedOn w:val="833"/>
    <w:link w:val="84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Relationship Id="rId12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9015223" TargetMode="External"/><Relationship Id="rId14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44823577" TargetMode="External"/><Relationship Id="rId16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://docs.cntd.ru/document/9017144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111336F-F158-45F2-8B44-B85D64DE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revision>13</cp:revision>
  <dcterms:created xsi:type="dcterms:W3CDTF">2024-09-20T08:43:00Z</dcterms:created>
  <dcterms:modified xsi:type="dcterms:W3CDTF">2024-12-13T07:16:41Z</dcterms:modified>
</cp:coreProperties>
</file>