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5" cy="6565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5" cy="6565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w:t xml:space="preserve">БЕЛГОРОДСКАЯ ОБЛАСТЬ</w:t>
      </w:r>
      <w:r/>
    </w:p>
    <w:p>
      <w:pPr>
        <w:jc w:val="center"/>
        <w:rPr>
          <w:rFonts w:ascii="Arial" w:hAnsi="Arial" w:cs="Arial"/>
          <w:i w:val="false"/>
          <w:spacing w:val="0"/>
          <w:sz w:val="20"/>
          <w:szCs w:val="20"/>
        </w:rPr>
      </w:pPr>
      <w:r>
        <w:rPr>
          <w:rFonts w:ascii="Arial" w:hAnsi="Arial" w:cs="Arial"/>
          <w:i w:val="false"/>
          <w:spacing w:val="0"/>
          <w:sz w:val="20"/>
          <w:szCs w:val="20"/>
        </w:rPr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АДМИНИСТРАЦИЯ НОВООСКОЛЬСКОГО 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БЕЛГОРОДСКОЙ ОБЛАСТИ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16"/>
          <w:szCs w:val="16"/>
        </w:rPr>
      </w:pPr>
      <w:r>
        <w:rPr>
          <w:rFonts w:ascii="Arial Narrow" w:hAnsi="Arial Narrow" w:cs="Arial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32"/>
          <w:szCs w:val="32"/>
        </w:rPr>
      </w:pP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 О С Т А Н О В Л Е Н И Е</w:t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16"/>
          <w:szCs w:val="16"/>
        </w:rPr>
      </w:pPr>
      <w:r>
        <w:rPr>
          <w:rFonts w:ascii="Arial" w:hAnsi="Arial" w:cs="Arial"/>
          <w:b w:val="false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  <w:t xml:space="preserve">Новый Оскол</w:t>
      </w:r>
      <w:r/>
    </w:p>
    <w:p>
      <w:pPr>
        <w:pStyle w:val="653"/>
        <w:ind w:firstLine="0"/>
        <w:jc w:val="both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1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18"/>
          <w:highlight w:val="none"/>
          <w:lang w:eastAsia="ru-RU"/>
        </w:rPr>
      </w:r>
      <w:r/>
    </w:p>
    <w:p>
      <w:pPr>
        <w:pStyle w:val="653"/>
        <w:ind w:firstLine="0"/>
        <w:jc w:val="both"/>
        <w:rPr>
          <w:rFonts w:ascii="Times New Roman" w:hAnsi="Times New Roman" w:cs="Times New Roman"/>
          <w:sz w:val="28"/>
          <w:szCs w:val="1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18"/>
          <w:lang w:eastAsia="ru-RU"/>
        </w:rPr>
        <w:t xml:space="preserve">«14» октября  2024 г.                                                                                      № 526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</w:r>
      <w:r/>
    </w:p>
    <w:p>
      <w:pPr>
        <w:ind w:left="540"/>
        <w:tabs>
          <w:tab w:val="left" w:pos="3600" w:leader="none"/>
        </w:tabs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  <w:r/>
    </w:p>
    <w:p>
      <w:pPr>
        <w:pStyle w:val="653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653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653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tbl>
      <w:tblPr>
        <w:tblStyle w:val="668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ook w:val="04A0" w:firstRow="1" w:lastRow="0" w:firstColumn="1" w:lastColumn="0" w:noHBand="0" w:noVBand="1"/>
      </w:tblPr>
      <w:tblGrid>
        <w:gridCol w:w="5778"/>
        <w:gridCol w:w="3225"/>
      </w:tblGrid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65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Устава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5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Новооскольский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5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  искусств   и   ремесел»   в   новой редакции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53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53"/>
              <w:tabs>
                <w:tab w:val="center" w:pos="2355" w:leader="none"/>
                <w:tab w:val="right" w:pos="4711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/>
          </w:p>
        </w:tc>
        <w:tc>
          <w:tcPr>
            <w:tcW w:w="3225" w:type="dxa"/>
            <w:textDirection w:val="lrTb"/>
            <w:noWrap w:val="false"/>
          </w:tcPr>
          <w:p>
            <w:pPr>
              <w:pStyle w:val="653"/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/>
          </w:p>
        </w:tc>
      </w:tr>
    </w:tbl>
    <w:p>
      <w:pPr>
        <w:pStyle w:val="653"/>
        <w:jc w:val="right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pacing w:val="20"/>
          <w:sz w:val="18"/>
          <w:szCs w:val="18"/>
        </w:rPr>
      </w:r>
      <w:r>
        <w:rPr>
          <w:rFonts w:ascii="Arial" w:hAnsi="Arial" w:cs="Arial"/>
          <w:color w:val="FFFFFF"/>
          <w:spacing w:val="20"/>
          <w:sz w:val="18"/>
          <w:szCs w:val="18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12 января 1996 года </w:t>
        <w:br/>
        <w:t xml:space="preserve">№ 7-ФЗ «О некоммерческих организациях»,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  <w:br/>
        <w:t xml:space="preserve">от 6 октября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Федеральным законом от 08 августа 2001 года № 129-ФЗ «О государственной регистрации юридических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предпринимателей», законом Белгородской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10 июня 2024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373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 Белгородской области «Об установлении границ муниципальных образований и наделении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статусом городского, сельского поселения, городского округа, муниципального района»,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от 24 сентября 2024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переименовании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lang w:eastAsia="ru-RU"/>
        </w:rPr>
      </w:r>
    </w:p>
    <w:p>
      <w:pPr>
        <w:pStyle w:val="653"/>
        <w:ind w:firstLine="85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твердить Устав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искусств и ремесел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Директору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искусств и ремесел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Бригаденко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осуществить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действия, связанные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государственной регистрацией 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pStyle w:val="653"/>
        <w:ind w:firstLine="851"/>
        <w:jc w:val="both"/>
        <w:rPr>
          <w:rFonts w:ascii="Times New Roman" w:hAnsi="Times New Roman" w:cs="Times New Roman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1) пункт 2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мая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искусств и ремесел»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pStyle w:val="653"/>
        <w:ind w:firstLine="851"/>
        <w:jc w:val="both"/>
        <w:rPr>
          <w:rFonts w:ascii="Times New Roman" w:hAnsi="Times New Roman" w:cs="Times New Roman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газете  «Вперед»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сетевом издании «Вперед» (no-vpered.ru),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 –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novyjoskol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gosweb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pStyle w:val="65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политике Евсееву А.А.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53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pStyle w:val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5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653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53"/>
              <w:ind w:firstLine="85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Гриднев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tbl>
      <w:tblPr>
        <w:tblStyle w:val="668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ook w:val="04A0" w:firstRow="1" w:lastRow="0" w:firstColumn="1" w:lastColumn="0" w:noHBand="0" w:noVBand="1"/>
      </w:tblPr>
      <w:tblGrid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6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0"/>
        <w:rPr>
          <w:sz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tbl>
      <w:tblPr>
        <w:tblStyle w:val="668"/>
        <w:tblW w:w="0" w:type="auto"/>
        <w:tblInd w:w="3793" w:type="dxa"/>
        <w:tblLayout w:type="fixed"/>
        <w:tblLook w:val="04A0" w:firstRow="1" w:lastRow="0" w:firstColumn="1" w:lastColumn="0" w:noHBand="0" w:noVBand="1"/>
      </w:tblPr>
      <w:tblGrid>
        <w:gridCol w:w="577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78" w:type="dxa"/>
            <w:textDirection w:val="lrTb"/>
            <w:noWrap w:val="false"/>
          </w:tcPr>
          <w:p>
            <w:pPr>
              <w:pStyle w:val="819"/>
              <w:ind w:left="0" w:right="0" w:firstLine="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  <w:p>
            <w:pPr>
              <w:pStyle w:val="819"/>
              <w:ind w:firstLine="54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9"/>
              <w:ind w:left="0" w:right="0" w:firstLine="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УТВЕРЖДЕН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9"/>
              <w:ind w:firstLine="0"/>
              <w:jc w:val="left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     постановлением администрации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9"/>
              <w:ind w:left="0" w:right="0" w:firstLine="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9"/>
              <w:ind w:firstLine="54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9"/>
              <w:ind w:firstLine="540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от 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октября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 xml:space="preserve"> 2024 года № 526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</w:tr>
    </w:tbl>
    <w:p>
      <w:pPr>
        <w:ind w:left="5103"/>
        <w:rPr>
          <w:sz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pStyle w:val="819"/>
        <w:ind w:firstLine="540"/>
        <w:jc w:val="center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7"/>
        </w:rPr>
        <w:t xml:space="preserve">  </w:t>
      </w:r>
      <w:r>
        <w:rPr>
          <w:b/>
          <w:bCs/>
          <w:sz w:val="28"/>
          <w:szCs w:val="28"/>
          <w:lang w:eastAsia="en-US"/>
        </w:rPr>
      </w:r>
      <w:r/>
    </w:p>
    <w:p>
      <w:pPr>
        <w:pStyle w:val="653"/>
        <w:ind w:firstLine="709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</w:t>
      </w:r>
      <w:r/>
      <w:r/>
    </w:p>
    <w:p>
      <w:pPr>
        <w:pStyle w:val="65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искусств и рем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сел» </w:t>
      </w:r>
      <w:r>
        <w:rPr>
          <w:rFonts w:ascii="Times New Roman" w:hAnsi="Times New Roman" w:cs="Times New Roman"/>
          <w:sz w:val="28"/>
          <w:szCs w:val="28"/>
        </w:rPr>
        <w:t xml:space="preserve">(далее - Учреждение) </w:t>
      </w:r>
      <w:r>
        <w:rPr>
          <w:rFonts w:ascii="Times New Roman" w:hAnsi="Times New Roman" w:cs="Times New Roman"/>
          <w:sz w:val="28"/>
          <w:szCs w:val="28"/>
        </w:rPr>
        <w:t xml:space="preserve">является некоммерческой организацией, созданной для сохранения исторического и культурного наследия Белгородской области, развития местного традиционного художественного творчества,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услугами          в области культуры и искусства.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 искусств и ремесел».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Сокращен</w:t>
      </w:r>
      <w:r>
        <w:rPr>
          <w:rFonts w:ascii="Times New Roman" w:hAnsi="Times New Roman" w:cs="Times New Roman"/>
          <w:sz w:val="28"/>
          <w:szCs w:val="28"/>
        </w:rPr>
        <w:t xml:space="preserve">ное   наименование   Учреждения – МБУ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 искусств и ремесел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учреждение.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r>
        <w:rPr>
          <w:rFonts w:ascii="Times New Roman" w:hAnsi="Times New Roman" w:cs="Times New Roman"/>
          <w:sz w:val="28"/>
          <w:szCs w:val="28"/>
        </w:rPr>
        <w:t xml:space="preserve">бюджетное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Учредителем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собственником его имущества является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Новооскольский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муниципальный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лице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Учредитель).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1.7.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Функции и полномочия Учредителя Учреждения исполняет управление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культуры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в пределах его компетенции в соответствии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 w:eastAsia="Times New Roman"/>
          <w:spacing w:val="2"/>
          <w:sz w:val="28"/>
          <w:szCs w:val="28"/>
          <w:lang w:eastAsia="ru-RU"/>
        </w:rPr>
        <w:t xml:space="preserve"> с законами, иными нормативно-правовыми актами, настоящим Уставом.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 xml:space="preserve">Место   нахождения   Учреждения: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.1. Юридический адрес: 30964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Белгородская область, г. Новый Оскол,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Ливенская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130А.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1.9</w:t>
      </w:r>
      <w:r>
        <w:rPr>
          <w:rFonts w:ascii="Times New Roman" w:hAnsi="Times New Roman" w:cs="Times New Roman"/>
          <w:sz w:val="28"/>
          <w:szCs w:val="28"/>
        </w:rPr>
        <w:t xml:space="preserve">.2. Фактический адрес: 30964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Белгородская область, г. Новый Оскол,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Ливенская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0А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 xml:space="preserve">Учреждение филиалов и представительств не имеет.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имеет самостоятельный баланс, счета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органе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круглую </w:t>
      </w:r>
      <w:r>
        <w:rPr>
          <w:rFonts w:ascii="Times New Roman" w:hAnsi="Times New Roman" w:cs="Times New Roman"/>
          <w:sz w:val="28"/>
          <w:szCs w:val="28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 xml:space="preserve">со своим наименованием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штамп</w:t>
      </w:r>
      <w:r>
        <w:rPr>
          <w:rFonts w:ascii="Times New Roman" w:hAnsi="Times New Roman" w:cs="Times New Roman"/>
          <w:sz w:val="28"/>
          <w:szCs w:val="28"/>
        </w:rPr>
        <w:t xml:space="preserve">ы,</w:t>
      </w:r>
      <w:r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 xml:space="preserve">и и иные реквизиты.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Права юридического лица возникают у Учреждения с момента его государственной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от своего имени приобретает имущественные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и не имущественные права, </w:t>
      </w:r>
      <w:r>
        <w:rPr>
          <w:rFonts w:ascii="Times New Roman" w:hAnsi="Times New Roman" w:cs="Times New Roman"/>
          <w:sz w:val="28"/>
          <w:szCs w:val="28"/>
        </w:rPr>
        <w:t xml:space="preserve">отвечает по своим обязательствам всем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находящимся у него на праве оперативного управления имуществом, как закрепленным за Учреждением собственником имущества, так                           и приобретенным за счет доходов.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1.14. Выступает</w:t>
      </w:r>
      <w:r>
        <w:rPr>
          <w:rFonts w:ascii="Times New Roman" w:hAnsi="Times New Roman" w:cs="Times New Roman"/>
          <w:sz w:val="28"/>
          <w:szCs w:val="28"/>
        </w:rPr>
        <w:t xml:space="preserve"> истцом, ответчиком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третьим лицом в суде </w:t>
      </w:r>
      <w:r>
        <w:rPr>
          <w:rFonts w:ascii="Times New Roman" w:hAnsi="Times New Roman" w:cs="Times New Roman"/>
          <w:sz w:val="28"/>
          <w:szCs w:val="28"/>
        </w:rPr>
        <w:t xml:space="preserve">общей юрисдикции, арбитражном и третейском судах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5. Учреждение осуществляет права владения, пользования                    и распоряжения в отношении закрепленного за ним имущества в пределах, установленных законом, в соответствии с целями своей деятельности, заданиями Учредителя и назначением имущества.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Учреждения осуществляется Учредителем               в объемах, необходимых для содержания помещений, штата, обеспечения охраны и пожарной безопасности, приобретения оборудования в целях организации и осуществления уставной деятельности.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 своей деятельности руководствуется законодательством Российской Федерации, указами и рас</w:t>
      </w:r>
      <w:r>
        <w:rPr>
          <w:rFonts w:ascii="Times New Roman" w:hAnsi="Times New Roman" w:cs="Times New Roman"/>
          <w:sz w:val="28"/>
          <w:szCs w:val="28"/>
        </w:rPr>
        <w:t xml:space="preserve">поряжениями Президента Российской Федерации, постановлениями и распоряжениями Правительства Российской Федерации, законами Белгородской области, постановлениями и распоряжениями Правительства Белгородской области, нормативно–правовыми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области, локальными актами управления культуры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1.18.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Бухгалтерский учет финансово-хозяйственной деятельности Учреждения ведет централизованная бухгалтерия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МКУ «Административно-хозяйственный центр обеспечения деятельности учреждений культуры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округа».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</w:r>
      <w:r/>
    </w:p>
    <w:p>
      <w:pPr>
        <w:pStyle w:val="6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Предмет, цели и виды деятельности Учреждения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53"/>
        <w:ind w:firstLine="709"/>
        <w:jc w:val="both"/>
      </w:pPr>
      <w:r/>
      <w:r/>
      <w:r/>
    </w:p>
    <w:p>
      <w:pPr>
        <w:pStyle w:val="1_1242"/>
        <w:ind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 предметом и целями деятельности,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определенными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           и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путем выполнения работ, исполнения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оказания услуг в</w:t>
      </w:r>
      <w:r>
        <w:rPr>
          <w:rFonts w:ascii="Times New Roman" w:hAnsi="Times New Roman" w:cs="Times New Roman"/>
          <w:sz w:val="28"/>
          <w:szCs w:val="28"/>
        </w:rPr>
        <w:t xml:space="preserve"> сферах культурно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досуговой и культурно</w:t>
      </w:r>
      <w:r>
        <w:rPr>
          <w:rFonts w:ascii="Times New Roman" w:hAnsi="Times New Roman" w:cs="Times New Roman"/>
          <w:sz w:val="28"/>
          <w:szCs w:val="28"/>
        </w:rPr>
        <w:t xml:space="preserve">-о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Предметом деятельности Учреждения явля</w:t>
      </w:r>
      <w:r>
        <w:rPr>
          <w:rFonts w:ascii="Times New Roman" w:hAnsi="Times New Roman" w:cs="Times New Roman"/>
          <w:sz w:val="28"/>
          <w:szCs w:val="28"/>
        </w:rPr>
        <w:t xml:space="preserve">ется осуществление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услуг, непосредственно направленных на достижение уставных целей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сохранение и продвижение традиционного           и современного искусства, народных художественных промыслов, ремесел, декоративно-прикладного творчества, дизайна 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 Цели создания Учреждения: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Формирование условий для удовлетворения общественных потребностей в сохранении и развитии народной традиционной культуры, выражения личной культурной самобытности;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Возрождение, сохранение и развитие традиционных ремесел, популяризация всех видов декоративно-прикладного творчества;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Организация и проведение культурно-массовых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деятельности Учреждения, поддержка творческих инициатив;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Поддержка и популяризация деятельности местных народных мастеров и умельцев.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Задачи деятельности Учреждения: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2.4.1. Создание благоприятных условий для массового вовлечения широких слоев населения в культурный процесс;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 xml:space="preserve">Изучение и овладение навыками народных художественных ремесел и жанров декоративно-прикладного творчества населением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2.4.3. Выявление самодеятельных и профессиональных мастеров декоративно-прикладного искусства, народных умельцев, вовлечение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их в культурную жизнь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Организация и проведение занятий с детьми, подростками, молодежью, взрослым населением в кружках и студиях декоративно-прикладного творчества;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Организация обучающих мероприятий по повышению квалификации работников культуры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посредством проведения мастер-классов, семинаров, школ мастера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Организация выставок, конкурсов, фестивалей, ярмарок и других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2.4.7. Формирование коллекции лучших изделий мастеров для выставочного фонда Учреждения и выставочных мероприятий в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 за ее пределами;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2.4.8. Предоставление возможности реализации сувенирной продукции, полученной в результате деятельности мастеров 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2.4.9. Деятельность Учреждения осуществляется исключительно для достижения уставных целей и не может подергаться никаким видам политического, религиозного или коммерческого давления.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достижения целей и решения задач, предусмотренных настоящим Уставом, Учреждение осуществляет следующие основные виды деятельности: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2.5.1. Организация и проведение культурно-массовых мероприятий;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2.5.2. Создание и организация работы, арт-резиденций, кружков, студий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других клубных формирований изобразительного и декоративно-прикладного творчества, удовлетворяющих потребности всех категорий населения;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2.5.3. Организация и проведение выставочных и конкурсных мероприятий;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2.5.4. Организация культурно-просветительской и обучающей деятельности, включающей проведение лекториев, мастер-классов, семинаров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иных мероприятий в рамках своей компетенции;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Реализация художественных произведений и сувенирной продукции мастеров и ремесленников в сувенирной лавке учреждения;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Комплектование фонда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ценных изделий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декоративно-прикладного искусства и ремесел, объектов традиционно-бытовой 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Издание буклетов, каталогов, брошюр;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Оказание консультативной, методической и организационно-творческой помощи, проведении различных мероприятий по социально-творческим заказам и другим договорам с юридическими и физическими лицами;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Участие в проектной деятельности, позволяющей реализовывать на практике новые идеи, способствующие профессиональному росту специалистов, а также привлечению дополнительных финансов;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Разраб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фирменн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стил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логотип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возможностью последующего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ребрендинга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2.5.11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Размещение информации о деятельности Учреждения или иной актуальной информации на собственном сайте и официальных страницах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социальных сетях.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 вправе осуществлять иные, не относящиеся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виды деятельности, в том числе приносящие доход: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2.6.1. Комиссионная реализация изделий;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2.6.2. Разработка эскизов, логотипов фирменного стиля;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2.6.3. Изготовление художественных и сувенирных изделий по заказу;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2.6.4. Прокат реквизита и предоставление в краткосрочную аренду нежилых помещений, выставочных площадок;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2.6.5. Проведение праздничных мероприятий на заказ;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2.6.6. Организация и проведение по заявкам выставок, творческих гостиных, клубов по интересам, совещаний конференций, семинаров.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2.7. Учреждение вправе осуществлять иные, не являющиеся основными, виды деятельности, исключительно в рамках своей специализации.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2.8.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2.9. Цены на оказываемые платные услуги (тарифы) и продукцию устанавливаются Учреждением самостоятельно.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Имущество и финансовое обеспечение деятельности Учреждения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Имущество закрепляется за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в соответствии с Гражданским кодексом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Собственником имущества Учреждения является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Белгородской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Земельные участки предоставляются Учреждению на праве постоянного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(бессрочного) пользования и используются исключительно для достижения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целей, ради 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Учреждение создано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 Учреждение не вправе без согласия собственника имущества распоряжаться особо ценным движимым имуществом, закрепленным за ним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уполномоченным органом или приобретенным Учреждением за счет средств, 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деленных ему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Учреждение отвечает по своим обязательствам всем находящимся      у него на праве оперативного управления имуществом, как закрепленным за Учреждением уполномоченным органом, так и приобретенным за счет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доходов, полученных от приносящих доход деятельности, за исключением особо ценного движимого имущества, закрепленного за Учреждением уполномоченным органом или приобретенного Учреждением за счет выделенных Учреждению средств, а также недвижимого имущества.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Собственник имущества Учреждения не несет ответственности   по обязательствам Учреждения.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 Финансовое обеспечение выполнения муниципального задания Учреждением осуществляется в виде субсидий из местного бюджета.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       и особо ценного движимого имущества, закрепленных за Учреждением или приобре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тенных Учреждением за счет средств, выделенных ему                           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Учреждение осуществляет операции с бюджетными средствами через лицевые счета, открытые ему в органах Федерального казначейства.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 Финансовые средства Учреждения формируются за счет: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3.6.1. Средств местного бюджета;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3.6.2. Средств, полученных от приносящей доход деятельности;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3.6.3. Иных средств, поступающих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 Доходы, полученные от деятельности, приносящей доход,                     и приобретенное за счет этих доходов имущество поступает в самостоятельное распоряжение Учреждения.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3.8. Ведение бухгалтерского учета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отчетности Учреждения осуществляет муниципальное казенное учреждение «Административно-хозяйственный центр обеспечения деятельности учреждений культуры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округа».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3.9. Учреждение не вправе: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3.9.1. Размещать денежные депозиты в кредитных организациях, а также совершать сделки с ценными бумагами, если иное не предусмотрено федеральными законами;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3.9.2. Совершать сделки, возможным последствием которых является отчуждение или обременение имущества, закрепленного за ним Собственником имущества, или приобретенного Учреждением за счет средств, выделенных ему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Учредителем на приобретение такого имущества, если иное не установлено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и управление Учреждением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Управление Учреждением осуществляется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настоящим Уставом.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 Руководителем Учреждения является директор, который назначается и освобождается от должности начальником управления культуры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 время его отсутствия обязанности директора Учреждения выполняет лицо, на которое приказом директора возлагаются обязанности. 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.3. Директор Учреждения в своей деятельности подотчетен управлению культуры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 Директор осуществляет руководство деятельностью Учреждения      на основе единоначалия.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Директор Учреждения: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Организует выполнение решений Учредителя по вопросам деятельности 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несет полную ответственность за результаты работы 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4.5.2. Руководит организационной, методической и административно-хозяйственной деятельностью Учреждения;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4.5.3. Распоряжается имуществом Учреждения в соответствии                     с действующим законодательством и настоящим Уставом, обеспечивает его целостную сохранность, целевое и эффективное использование;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4.5.4. Распоряжается от имени Учреждения бюджетными средствами         в соответствии с доведенными лимитами бюджетных обязательств                      и бюджетными ассигнованиями;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4.5.5. Открывает лицевые счета в органах Федерального казначейства, финансовых органах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учету ассигнований, выделяемых из бюджета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Действует без доверенности от имени Учреждения, представляет его интересы в органах местного самоуправления, в отношениях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юридическими и физическими лицами по вопросам и функциям, установленным настоящим Уставом;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Заключает и расторгает с работниками трудовые договора, утверждает правила внутреннего распорядка;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4.5.8.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Издает приказы, обязательные для исполнения всеми работниками Учреждения, утверждает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Положения, инструкции, штатное расписание и 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внутренние документы Учреждения, регламентирующие его деятельность;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4.5.9. Заключает договора с организациями различных форм собственности и выдает доверенности;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4.5.10. Организует бухгалтерский учет и отчетность, контроль финансово-хозяйственной деятельности;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4.5.11. Организует мероприятия по охране труда, обучению работников Учреждения правилам пожарной безопасности, осуществляет контроль             по их исполнению;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4.5.12. Отвечает за укрепление материально-технической базы Учреждения, повышение квалификации специалистов и профессионального уровня коллектива;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Осуществляет иные функции и полномочия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распоряжениями Учредителя, законодательством Российской Федерации  и Белгородской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4.6. Директор Учреждения 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4.6.1.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Ненадлежащие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 возложенных на него обязанностей;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4.6.2. Сохранность денежных средств, материальных ценностей                  и имущества Учреждения.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основных целей </w:t>
      </w:r>
      <w:r>
        <w:rPr>
          <w:rFonts w:ascii="Times New Roman" w:hAnsi="Times New Roman" w:cs="Times New Roman"/>
          <w:sz w:val="28"/>
          <w:szCs w:val="28"/>
        </w:rPr>
        <w:t xml:space="preserve">Учреждение имеет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, творческую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 хозяйственную деятельность в пределах имеющихся ресурсов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интересах достижения целей, предусмотренных настоящим Уставом,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 Учредителем.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.2. По согласованию с Учредителем устанавливать режим своей работы и доступа посетителей;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согласованию с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ланировать свою основную деятельность и определять перспективы развития;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Совершать иные действия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и настоящим Уставом.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обязано: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выполнение муниципального задания;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4.8.2.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 Учреждения в соответствии с целями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видами деятельности Учреждения, установленными настоящим Уставом;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на праве оперативного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Своевременно предоставлять статистическую отчетность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уплачивать налоги в порядке и размерах, установленных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Добросовестно выполнять обязательства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 заключенными договорами и муниципальными контрактами;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Обеспечивать соблюдение трудовых прав и гарантий работников Учреждения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Выполнять иные обязанности, установленные законодательством Российской Федерации и настоящим Уставом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Учреждение не вправе: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4.9.1.</w:t>
      </w:r>
      <w:r>
        <w:rPr>
          <w:rFonts w:ascii="Times New Roman" w:hAnsi="Times New Roman" w:cs="Times New Roman"/>
          <w:sz w:val="28"/>
          <w:szCs w:val="28"/>
        </w:rPr>
        <w:t xml:space="preserve"> Выступать учредителем (участником) других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4.9.2. П</w:t>
      </w:r>
      <w:r>
        <w:rPr>
          <w:rFonts w:ascii="Times New Roman" w:hAnsi="Times New Roman" w:cs="Times New Roman"/>
          <w:sz w:val="28"/>
          <w:szCs w:val="28"/>
        </w:rPr>
        <w:t xml:space="preserve">редоставлять кредиты (займы), приобретать ценные бумаги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4.9.3. </w:t>
      </w:r>
      <w:r>
        <w:rPr>
          <w:rFonts w:ascii="Times New Roman" w:hAnsi="Times New Roman" w:cs="Times New Roman"/>
          <w:sz w:val="28"/>
          <w:szCs w:val="28"/>
        </w:rPr>
        <w:t xml:space="preserve">Совершать сделки, возможным последствием которых является отчуждение или обременение имущества, закрепленного за ним на праве оперативного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Реорганизация, изменение типа и ликвидация Учреждения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 Реорганизация и изменение типа Учреждения: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.1.1.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реорганизовано в порядке,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предусмотренном Федеральными законами, законами Белгородской области, правовыми актами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или по решению суда;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.1.2.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Реорганизация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может быть осуществлена в форме                    его слияния, присоединения, разделения или выделения;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5.1.3. Реорганизация влечет за собой переход прав и обязанностей Учреждения к его правопреемникам в соответствии с передаточными актами. 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Ликвидация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.2.1. Учреждение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ликвидировано по основаниям и в порядке, предусмотренными законодательством Российской Федерации на основании решения Учредителя;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.2.2. С момента назначения ликвидационной комиссии к ней переходят полномочия по управлению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Ликвидационная комиссия составляет промежуточный и окончательный ликвидационный баланс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представляет их на утверждение Учредителю;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.2.3. Имущество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оставшееся после удовлетворения требований кредиторов, а также имущество, на которое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федеральными законами не может быть обращено взыскание по обязательствам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передается ликвидационной комиссией Учредителю;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.2.4. Направление дальнейшего использования имущества осуществляется Учредителем.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.3.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Ликвидация Учреждения считается завершенной, а Учреждение - прекративш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существование после внесения об этом записи в единый государственный реестр юридических лиц.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.4. При ликвидации и реорганизации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увольняемым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работникам гарантируется соблюдение их прав и интересов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.5. При прекращении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(кроме ликвидации) все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(управленческие, финансово-хозяйственные, по личному составу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другие) передаются в установленном порядке правопреемнику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(правопреемникам). При отсутствии правопреемника документы постоянного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хранения, имеющие научно-историческое значение,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по личному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составу передаются 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государственное хранение в муниципальный архив.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Передача и упорядочение документов осуществляются силами и за счет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средств Учреждения в соответствии с требованиями архивных органов.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внесения изменений в Устав Учреждения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Изменения в Уставе утверждаются Учредителем в порядке, установленном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Принятые и утвержденные в установленном порядке изменения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Уставе регистрируются в органе, осуществляющем государственную регистрацию юридических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 Изменения в Устав вступают в силу с момента их государственной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Bookman Old Style">
    <w:panose1 w:val="020606030506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Bookman Old Style" w:hAnsi="Bookman Old Style" w:cs="Times New Roman" w:eastAsia="Times New Roman"/>
      <w:b/>
      <w:bCs/>
      <w:i/>
      <w:iCs/>
      <w:spacing w:val="-6"/>
      <w:sz w:val="28"/>
      <w:szCs w:val="28"/>
      <w:lang w:eastAsia="ru-RU"/>
    </w:rPr>
    <w:pPr>
      <w:spacing w:lineRule="auto" w:line="240" w:after="0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cs="Tahoma" w:eastAsia="Times New Roman"/>
      <w:b/>
      <w:bCs/>
      <w:i/>
      <w:iCs/>
      <w:spacing w:val="-6"/>
      <w:sz w:val="16"/>
      <w:szCs w:val="16"/>
      <w:lang w:eastAsia="ru-RU"/>
    </w:rPr>
  </w:style>
  <w:style w:type="character" w:styleId="818" w:customStyle="1">
    <w:name w:val="blk"/>
  </w:style>
  <w:style w:type="paragraph" w:styleId="819" w:customStyle="1">
    <w:name w:val="ConsPlusNormal"/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 w:customStyle="1">
    <w:name w:val="текст"/>
    <w:rPr>
      <w:rFonts w:ascii="Times New Roman" w:hAnsi="Times New Roman" w:cs="Tahoma" w:eastAsia="Lucida Sans Unicode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en-US" w:eastAsia="en-US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left" w:pos="993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242" w:customStyle="1">
    <w:name w:val="ConsPlusNonformat"/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userprvo</dc:creator>
  <cp:revision>14</cp:revision>
  <dcterms:created xsi:type="dcterms:W3CDTF">2024-06-24T13:48:00Z</dcterms:created>
  <dcterms:modified xsi:type="dcterms:W3CDTF">2024-10-15T06:05:33Z</dcterms:modified>
</cp:coreProperties>
</file>