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2265575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2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2265575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2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663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80"/>
        <w:jc w:val="center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0"/>
        <w:jc w:val="center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8862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70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дошкольного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Детский сад </w:t>
            </w:r>
            <w:r/>
          </w:p>
          <w:p>
            <w:pPr>
              <w:pStyle w:val="70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с. Ниновка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Новооскольского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района 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0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0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0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0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01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16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16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0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с. Ниновка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района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«Ромашка» </w:t>
      </w:r>
      <w:r>
        <w:rPr>
          <w:rFonts w:ascii="Times New Roman" w:hAnsi="Times New Roman"/>
          <w:sz w:val="28"/>
          <w:szCs w:val="28"/>
          <w:lang w:val="ru-RU"/>
        </w:rPr>
        <w:t xml:space="preserve">с. Ниновка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МБ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ОУ 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«Ромашка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0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«Ромашка» </w:t>
      </w:r>
      <w:r>
        <w:rPr>
          <w:rFonts w:ascii="Times New Roman" w:hAnsi="Times New Roman"/>
          <w:sz w:val="28"/>
          <w:szCs w:val="28"/>
          <w:lang w:val="ru-RU"/>
        </w:rPr>
        <w:t xml:space="preserve">с. Ниновка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0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Заведующему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«Ромашка» </w:t>
      </w:r>
      <w:r>
        <w:rPr>
          <w:rFonts w:ascii="Times New Roman" w:hAnsi="Times New Roman"/>
          <w:sz w:val="28"/>
          <w:szCs w:val="28"/>
          <w:lang w:val="ru-RU"/>
        </w:rPr>
        <w:t xml:space="preserve">с. Ниновка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Голубенко Ирине Ивановне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70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25 ноября 2015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793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 утверждении устава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м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униципального бюджетного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дошкольного 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«Детский сад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с. Ниновка Новооскольского района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0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0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8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8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8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8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8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8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8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8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8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/>
      </w: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text" w:tblpY="9" w:leftFromText="180" w:topFromText="0" w:rightFromText="180" w:bottomFromText="0"/>
        <w:tblW w:w="5000" w:type="pct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912"/>
      </w:tblGrid>
      <w:tr>
        <w:trPr>
          <w:trHeight w:val="3257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082" w:type="pct"/>
            <w:vAlign w:val="top"/>
            <w:textDirection w:val="lrTb"/>
            <w:noWrap w:val="false"/>
          </w:tcPr>
          <w:p>
            <w:pPr>
              <w:pStyle w:val="680"/>
              <w:widowControl w:val="off"/>
              <w:rPr>
                <w:sz w:val="28"/>
                <w:szCs w:val="28"/>
                <w:lang w:eastAsia="en-US"/>
              </w:rPr>
              <w:framePr w:hSpace="180" w:wrap="around" w:vAnchor="text" w:hAnchor="margin" w:y="9"/>
            </w:pPr>
            <w:r>
              <w:rPr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918" w:type="pct"/>
            <w:vAlign w:val="top"/>
            <w:textDirection w:val="lrTb"/>
            <w:noWrap w:val="false"/>
          </w:tcPr>
          <w:p>
            <w:pPr>
              <w:pStyle w:val="68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9"/>
            </w:pPr>
            <w:r>
              <w:rPr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68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9"/>
            </w:pPr>
            <w:r>
              <w:rPr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8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9"/>
            </w:pPr>
            <w:r>
              <w:rPr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68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9"/>
            </w:pPr>
            <w:r>
              <w:rPr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680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  <w:framePr w:hSpace="180" w:wrap="around" w:vAnchor="text" w:hAnchor="margin" w:y="9"/>
            </w:pPr>
            <w:r>
              <w:rPr>
                <w:b/>
                <w:sz w:val="28"/>
                <w:szCs w:val="28"/>
                <w:lang w:eastAsia="en-US"/>
              </w:rPr>
              <w:t xml:space="preserve">от «11» декабря 2024 года </w:t>
            </w:r>
            <w:r/>
            <w:r>
              <w:rPr>
                <w:b/>
                <w:sz w:val="28"/>
                <w:szCs w:val="28"/>
                <w:lang w:eastAsia="en-US"/>
              </w:rPr>
              <w:t xml:space="preserve">№663</w:t>
            </w:r>
            <w:r/>
          </w:p>
        </w:tc>
      </w:tr>
    </w:tbl>
    <w:p>
      <w:pPr>
        <w:pStyle w:val="680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tabs>
          <w:tab w:val="left" w:pos="358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/>
    </w:p>
    <w:p>
      <w:pPr>
        <w:pStyle w:val="680"/>
        <w:tabs>
          <w:tab w:val="left" w:pos="358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tabs>
          <w:tab w:val="left" w:pos="358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tabs>
          <w:tab w:val="left" w:pos="358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tabs>
          <w:tab w:val="left" w:pos="358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tabs>
          <w:tab w:val="left" w:pos="3585" w:leader="none"/>
        </w:tabs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</w:r>
      <w:r/>
    </w:p>
    <w:p>
      <w:pPr>
        <w:pStyle w:val="680"/>
        <w:jc w:val="center"/>
        <w:widowControl w:val="off"/>
        <w:rPr>
          <w:sz w:val="52"/>
          <w:szCs w:val="52"/>
          <w:lang w:eastAsia="en-US"/>
        </w:rPr>
      </w:pPr>
      <w:r>
        <w:rPr>
          <w:sz w:val="52"/>
          <w:szCs w:val="52"/>
          <w:lang w:eastAsia="en-US"/>
        </w:rPr>
        <w:t xml:space="preserve">УСТАВ</w:t>
      </w:r>
      <w:r/>
    </w:p>
    <w:p>
      <w:pPr>
        <w:pStyle w:val="68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МУНИЦИПАЛЬНОГО БЮДЖЕТНОГО</w:t>
      </w:r>
      <w:r/>
    </w:p>
    <w:p>
      <w:pPr>
        <w:pStyle w:val="68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ДОШКОЛЬНОГО ОБРАЗОВАТЕЛЬНОГО</w:t>
      </w:r>
      <w:r/>
    </w:p>
    <w:p>
      <w:pPr>
        <w:pStyle w:val="68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УЧРЕЖДЕНИЯ «ДЕТСКИЙ САД «РОМАШКА» </w:t>
      </w:r>
      <w:r/>
    </w:p>
    <w:p>
      <w:pPr>
        <w:pStyle w:val="68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С. НИНОВКА НОВООСКОЛЬСКОГО МУНИЦИПАЛЬНОГО ОКРУГА</w:t>
      </w:r>
      <w:r/>
    </w:p>
    <w:p>
      <w:pPr>
        <w:pStyle w:val="680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БЕЛГОРОДСКОЙ ОБЛАСТИ»</w:t>
      </w:r>
      <w:r/>
    </w:p>
    <w:p>
      <w:pPr>
        <w:pStyle w:val="68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8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8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8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80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8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8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8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80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80"/>
        <w:jc w:val="center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Ниновка</w:t>
      </w:r>
      <w:r/>
    </w:p>
    <w:p>
      <w:pPr>
        <w:pStyle w:val="680"/>
        <w:jc w:val="center"/>
        <w:widowControl w:val="off"/>
        <w:rPr>
          <w:sz w:val="28"/>
          <w:szCs w:val="28"/>
          <w:lang w:eastAsia="en-US"/>
        </w:rPr>
        <w:sectPr>
          <w:headerReference w:type="default" r:id="rId9"/>
          <w:footnotePr/>
          <w:endnotePr/>
          <w:type w:val="nextPage"/>
          <w:pgSz w:w="12240" w:h="15840" w:orient="portrait"/>
          <w:pgMar w:top="1134" w:right="624" w:bottom="1134" w:left="1701" w:header="454" w:footer="454" w:gutter="0"/>
          <w:pgNumType w:start="3"/>
          <w:cols w:num="1" w:sep="0" w:space="720" w:equalWidth="1"/>
          <w:docGrid w:linePitch="360"/>
        </w:sect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680"/>
        <w:jc w:val="center"/>
        <w:widowControl w:val="off"/>
        <w:rPr>
          <w:rFonts w:ascii="Times New Roman CYR" w:hAnsi="Times New Roman CYR"/>
          <w:b/>
          <w:bCs/>
          <w:color w:val="000000"/>
          <w:sz w:val="28"/>
          <w:szCs w:val="28"/>
        </w:rPr>
        <w:outlineLvl w:val="0"/>
      </w:pPr>
      <w:r>
        <w:rPr>
          <w:rFonts w:ascii="Times New Roman CYR" w:hAnsi="Times New Roman CYR"/>
          <w:b/>
          <w:bCs/>
          <w:sz w:val="28"/>
          <w:szCs w:val="28"/>
        </w:rPr>
        <w:t xml:space="preserve">1. Общие положения</w:t>
      </w:r>
      <w:r>
        <w:rPr>
          <w:rFonts w:ascii="Times New Roman CYR" w:hAnsi="Times New Roman CYR"/>
          <w:b/>
          <w:bCs/>
          <w:color w:val="000000"/>
          <w:sz w:val="28"/>
          <w:szCs w:val="28"/>
        </w:rPr>
      </w:r>
      <w:r/>
    </w:p>
    <w:p>
      <w:pPr>
        <w:pStyle w:val="68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Устав разработан в связи с переименованием муниципального бюджетного дошкольного образовательного</w:t>
      </w:r>
      <w:r>
        <w:rPr>
          <w:sz w:val="28"/>
          <w:szCs w:val="28"/>
        </w:rPr>
        <w:t xml:space="preserve"> учреждения «Детский сад с. Ниновка Новооскольского района Белгородской области»                  в муниципальное бюджетное дошкольное образовательное учреждение «Детский сад «Ромашка» с. Ниновка Новооскольского муниципального округа Белгородской области».</w:t>
      </w:r>
      <w:r/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Учреждения: муниципальное бюджетное дошкольное образовательное учреждение «Детский сад «Ромашка» с. Ниновка Новооскольского муниципального округа Белгородской области».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название: МБДОУ «Детский сад «Ромашка».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форма:   учреждение. 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</w:t>
      </w:r>
      <w:r>
        <w:rPr>
          <w:sz w:val="28"/>
          <w:szCs w:val="28"/>
        </w:rPr>
        <w:t xml:space="preserve">дошкольное.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309606, Россия, Белгородская область, Новооскольский район, село Ниновка, улица Победы, дом 95а.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309606, Россия, Белгородская область, Новооскольский район, село Ниновка, улица Победы, дом 95а. 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своей деятельности руководствуется Конвенцией ООН о правах ребенка, Конституцией Российской Федерации,</w:t>
      </w:r>
      <w:r>
        <w:rPr>
          <w:sz w:val="28"/>
          <w:szCs w:val="28"/>
        </w:rPr>
        <w:t xml:space="preserve"> Федеральным законом «Об образовании в Российской Федерации», другими </w:t>
      </w:r>
      <w:r>
        <w:rPr>
          <w:sz w:val="28"/>
          <w:szCs w:val="28"/>
        </w:rPr>
        <w:t xml:space="preserve"> федеральными законами, постановлениями и распоряжениями Правительства Российской Федерации, указами и распоряжениями Президента Российской федерации,</w:t>
      </w:r>
      <w:r>
        <w:rPr>
          <w:sz w:val="28"/>
          <w:szCs w:val="28"/>
        </w:rPr>
        <w:t xml:space="preserve">  иными нормативными правовыми актами  Российской Федерации, законодательными  и нормативными правовыми актами Белгородской области и Новооскольского муниципального округа Белгородской области, настоящим Уставом и локальными нормативными актами Учреждения.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в оперативном управлении обособленное имущество, самостоятельный баланс, круглую печать установленного образца, содержащую его полное наименование на русском языке, штамп со своим наименованием.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Учредителем и собственником имущества Учреждения </w:t>
      </w:r>
      <w:r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и собственника имущества  осуществляет администрация Новооскольского муниципального округа Белгородской области </w:t>
      </w:r>
      <w:r>
        <w:rPr>
          <w:sz w:val="28"/>
          <w:szCs w:val="28"/>
        </w:rPr>
        <w:t xml:space="preserve">(далее – Учредитель).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Местонахождение Учредителя: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309640, Россия, Белгородская область,       город Новый Оскол, улица 1 Мая, дом 2.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309640, Россия, Белгородская область,   город Новый Оскол, улица 1 Мая, дом 2. 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Учреждения в пределах переданных ему полномочий осуществляет управление образования администрации </w:t>
      </w:r>
      <w:r>
        <w:rPr>
          <w:sz w:val="28"/>
          <w:szCs w:val="28"/>
        </w:rPr>
        <w:t xml:space="preserve">Новооскольского муниципального округа Белгородской области </w:t>
      </w:r>
      <w:r>
        <w:rPr>
          <w:sz w:val="28"/>
          <w:szCs w:val="28"/>
        </w:rPr>
        <w:t xml:space="preserve">(далее – Управление образования). 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создавать филиалы по согласованию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государственной регистрации настоящего Устава Учреждение филиалов и представительств не имеет.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деятельность в Учреждении осуществляется                  на государственном языке Российской Федерации – русском.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Медицинское обслуживание воспитанников в Учреждении осуществляется медицинским персоналом, закрепленным учреждением здравоохранения за Учреждением в соответствии с условиями заключенного договора (соглашения).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Медицинские услуги в пределах функциональных обязанностей медицинского персонала оказываются бесплатно.</w:t>
      </w:r>
      <w:r>
        <w:rPr>
          <w:sz w:val="28"/>
        </w:rPr>
      </w:r>
    </w:p>
    <w:p>
      <w:pPr>
        <w:pStyle w:val="68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обеспечивает гарантированное сбалансированное питание в соответствии с санитарно-эпидемиологическими правилами                          и нормами, примерным десятидневным меню и длительностью пребывания воспитанников.</w:t>
      </w:r>
      <w:r>
        <w:rPr>
          <w:sz w:val="28"/>
        </w:rPr>
      </w:r>
    </w:p>
    <w:p>
      <w:pPr>
        <w:pStyle w:val="680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</w:rPr>
      </w:r>
    </w:p>
    <w:p>
      <w:pPr>
        <w:pStyle w:val="68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Предмет, цель, виды деятельности</w:t>
      </w:r>
      <w:r/>
    </w:p>
    <w:p>
      <w:pPr>
        <w:pStyle w:val="680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</w:r>
      <w:r/>
    </w:p>
    <w:p>
      <w:pPr>
        <w:pStyle w:val="680"/>
        <w:numPr>
          <w:ilvl w:val="0"/>
          <w:numId w:val="8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 xml:space="preserve">образовательных программ, определенных Федеральным законом</w:t>
      </w:r>
      <w:r>
        <w:rPr>
          <w:sz w:val="28"/>
          <w:szCs w:val="28"/>
        </w:rPr>
        <w:t xml:space="preserve">                                          от </w:t>
      </w:r>
      <w:r>
        <w:rPr>
          <w:sz w:val="28"/>
          <w:szCs w:val="28"/>
          <w:lang w:val="en-US"/>
        </w:rPr>
        <w:t xml:space="preserve">29 декабря 2012 года № 273-ФЗ «Об образовании в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80"/>
        <w:numPr>
          <w:ilvl w:val="0"/>
          <w:numId w:val="8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>
        <w:rPr>
          <w:sz w:val="28"/>
          <w:szCs w:val="28"/>
        </w:rPr>
      </w:r>
      <w:r/>
    </w:p>
    <w:p>
      <w:pPr>
        <w:pStyle w:val="680"/>
        <w:numPr>
          <w:ilvl w:val="0"/>
          <w:numId w:val="8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sz w:val="28"/>
          <w:szCs w:val="22"/>
          <w:lang w:eastAsia="en-US"/>
        </w:rPr>
        <w:t xml:space="preserve">или не позже достижения ими возраста восьми лет.</w:t>
      </w:r>
      <w:r>
        <w:rPr>
          <w:sz w:val="28"/>
          <w:szCs w:val="28"/>
        </w:rPr>
      </w:r>
      <w:r/>
    </w:p>
    <w:p>
      <w:pPr>
        <w:pStyle w:val="680"/>
        <w:numPr>
          <w:ilvl w:val="0"/>
          <w:numId w:val="8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>
        <w:rPr>
          <w:sz w:val="28"/>
          <w:szCs w:val="28"/>
        </w:rPr>
      </w:r>
      <w:r/>
    </w:p>
    <w:p>
      <w:pPr>
        <w:pStyle w:val="680"/>
        <w:numPr>
          <w:ilvl w:val="0"/>
          <w:numId w:val="8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Основными видами деятельности Учреждения являются: </w:t>
      </w:r>
      <w:r>
        <w:rPr>
          <w:sz w:val="28"/>
          <w:szCs w:val="28"/>
        </w:rPr>
      </w:r>
      <w:r/>
    </w:p>
    <w:p>
      <w:pPr>
        <w:pStyle w:val="68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pStyle w:val="68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осуществление присмотра и ухода за детьми. 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Содержание дошкольного образования определяется образовательной программой дошкольного образования. 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определяет содержательные линии образовательной деятельности, реал</w:t>
      </w:r>
      <w:r>
        <w:rPr>
          <w:sz w:val="28"/>
          <w:szCs w:val="28"/>
          <w:lang w:eastAsia="en-US"/>
        </w:rPr>
        <w:t xml:space="preserve">изуемые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                 ФГОС ДО.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</w:t>
      </w:r>
      <w:r>
        <w:rPr>
          <w:sz w:val="28"/>
          <w:szCs w:val="28"/>
          <w:lang w:eastAsia="en-US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может</w:t>
      </w:r>
      <w:r>
        <w:rPr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осуществляться: </w:t>
      </w:r>
      <w:r/>
    </w:p>
    <w:p>
      <w:pPr>
        <w:pStyle w:val="68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для воспитанников с ограниченными возможностями здоровья -                              по адаптированным образовательным программам дошкольного образования; </w:t>
      </w:r>
      <w:r/>
    </w:p>
    <w:p>
      <w:pPr>
        <w:pStyle w:val="68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- для детей - инвалидов - с учетом индивидуальной программы реабилитации. </w:t>
      </w:r>
      <w:r>
        <w:rPr>
          <w:sz w:val="22"/>
          <w:szCs w:val="22"/>
          <w:lang w:eastAsia="en-US"/>
        </w:rPr>
        <w:t xml:space="preserve"> 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может реализовываться в течение всего времени пребывания детей в Учреждении.</w:t>
      </w:r>
      <w:r>
        <w:rPr>
          <w:sz w:val="22"/>
          <w:szCs w:val="22"/>
          <w:lang w:eastAsia="en-US"/>
        </w:rPr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 </w:t>
      </w:r>
      <w:r>
        <w:rPr>
          <w:sz w:val="22"/>
          <w:szCs w:val="22"/>
          <w:lang w:eastAsia="en-US"/>
        </w:rPr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Проводится педагогическая диагностика достижений планируемых результатов, которая направлена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 </w:t>
      </w:r>
      <w:r>
        <w:rPr>
          <w:sz w:val="22"/>
          <w:szCs w:val="22"/>
          <w:lang w:eastAsia="en-US"/>
        </w:rPr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</w:t>
      </w:r>
      <w:r>
        <w:rPr>
          <w:sz w:val="22"/>
          <w:szCs w:val="22"/>
          <w:lang w:eastAsia="en-US"/>
        </w:rPr>
      </w:r>
      <w:r/>
    </w:p>
    <w:p>
      <w:pPr>
        <w:pStyle w:val="68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/>
    </w:p>
    <w:p>
      <w:pPr>
        <w:pStyle w:val="68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оптимизации работы с группой детей.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За присмотр и уход за детьми в Учреждении с родителей (законных представителей) взимается плата. Ее размер определяется Учредителем и отражается в договоре. Родителям (законным представителям) выплачивается компенсация части родительской платы</w:t>
      </w:r>
      <w:r>
        <w:rPr>
          <w:sz w:val="28"/>
          <w:szCs w:val="22"/>
          <w:lang w:eastAsia="en-US"/>
        </w:rPr>
        <w:t xml:space="preserve">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               в Учреждении.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</w:t>
      </w:r>
      <w:r>
        <w:rPr>
          <w:sz w:val="28"/>
          <w:szCs w:val="22"/>
          <w:lang w:eastAsia="en-US"/>
        </w:rPr>
        <w:t xml:space="preserve">сновной целью его деятельности: дополнительные общеобразовательные (общеразвивающие) программы по следующим направленностям: техническая, естественнонаучная, физкультурно - спортивная, художественная, туристско - краеведческая, социально -  педагогическая.</w:t>
      </w:r>
      <w:r/>
    </w:p>
    <w:p>
      <w:pPr>
        <w:pStyle w:val="680"/>
        <w:numPr>
          <w:ilvl w:val="0"/>
          <w:numId w:val="8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Виды реализуемых образовательных программ:</w:t>
      </w:r>
      <w:r>
        <w:rPr>
          <w:sz w:val="28"/>
          <w:szCs w:val="22"/>
          <w:lang w:eastAsia="en-US"/>
        </w:rPr>
      </w:r>
      <w:r/>
    </w:p>
    <w:p>
      <w:pPr>
        <w:pStyle w:val="680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Образовательные программы дошкольного образования.</w:t>
      </w:r>
      <w:r/>
    </w:p>
    <w:p>
      <w:pPr>
        <w:pStyle w:val="680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Дополнительные общеобразовательные программы -дополнительные общеразвивающие программы.</w:t>
      </w:r>
      <w:r>
        <w:rPr>
          <w:sz w:val="28"/>
          <w:szCs w:val="28"/>
          <w:lang w:eastAsia="en-US"/>
        </w:rPr>
      </w:r>
      <w:r/>
    </w:p>
    <w:p>
      <w:pPr>
        <w:pStyle w:val="680"/>
        <w:numPr>
          <w:ilvl w:val="0"/>
          <w:numId w:val="24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проводится                                  в соответствии с санитарно-эпидемиологическими правилами и нормативами.</w:t>
      </w:r>
      <w:r/>
    </w:p>
    <w:p>
      <w:pPr>
        <w:pStyle w:val="680"/>
        <w:numPr>
          <w:ilvl w:val="0"/>
          <w:numId w:val="24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оказывать платные образовательные услуги    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/>
    </w:p>
    <w:p>
      <w:pPr>
        <w:pStyle w:val="680"/>
        <w:numPr>
          <w:ilvl w:val="0"/>
          <w:numId w:val="25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для организации платных образовательных услуг: </w:t>
      </w:r>
      <w:r/>
    </w:p>
    <w:p>
      <w:pPr>
        <w:pStyle w:val="68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условия для их предоставления с учетом требований по охране и безопасности здоровья обучающихся; </w:t>
      </w:r>
      <w:r/>
    </w:p>
    <w:p>
      <w:pPr>
        <w:pStyle w:val="68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разрабатывает, принимает и утверждает локальные нормативные акты по организации платных образовательных услуг; </w:t>
      </w:r>
      <w:r/>
    </w:p>
    <w:p>
      <w:pPr>
        <w:pStyle w:val="68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кадровые, организационно-методические, материально-технические условия для организации предоставления платных образовательных услуг.</w:t>
      </w:r>
      <w:r/>
    </w:p>
    <w:p>
      <w:pPr>
        <w:pStyle w:val="680"/>
        <w:numPr>
          <w:ilvl w:val="0"/>
          <w:numId w:val="2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sz w:val="28"/>
          <w:szCs w:val="22"/>
          <w:lang w:eastAsia="en-US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>
        <w:rPr>
          <w:sz w:val="28"/>
          <w:szCs w:val="28"/>
          <w:lang w:eastAsia="en-US"/>
        </w:rPr>
      </w:r>
      <w:r/>
    </w:p>
    <w:p>
      <w:pPr>
        <w:pStyle w:val="680"/>
        <w:numPr>
          <w:ilvl w:val="0"/>
          <w:numId w:val="2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вести приносящую доход деятельность  постольку,  поскольку  это  служит  достижению  целей,  ради  которых                    оно  создано, и соответствует указанным в Уставе целям.</w:t>
      </w:r>
      <w:r/>
    </w:p>
    <w:p>
      <w:pPr>
        <w:pStyle w:val="680"/>
        <w:numPr>
          <w:ilvl w:val="0"/>
          <w:numId w:val="2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такой деятельности,  и  приобретенное                 за  счет  этих доходов имущество поступают в самостоятельное распоряжение  Учреждения.  </w:t>
      </w:r>
      <w:r/>
    </w:p>
    <w:p>
      <w:pPr>
        <w:pStyle w:val="680"/>
        <w:numPr>
          <w:ilvl w:val="0"/>
          <w:numId w:val="2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вправе приостановить приносящую доход  деятельность Учреждения, если она идет в ущерб образовательной деятельности, предусмотренной настоящим Уставом, до решения суда                     по этому вопросу. </w:t>
      </w:r>
      <w:r/>
    </w:p>
    <w:p>
      <w:pPr>
        <w:pStyle w:val="680"/>
        <w:numPr>
          <w:ilvl w:val="0"/>
          <w:numId w:val="2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Право Учреждения осуществлять деятельность, на которую                  </w:t>
      </w:r>
      <w:r>
        <w:rPr>
          <w:sz w:val="28"/>
          <w:szCs w:val="22"/>
          <w:lang w:eastAsia="en-US"/>
        </w:rPr>
        <w:t xml:space="preserve">             в соответствии с законодательством Российской Федерации требуется специальное разрешение - лицензия, возникает у Учреждения с момента                    ее получения,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80"/>
        <w:ind w:left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80"/>
        <w:ind w:left="851" w:firstLine="0"/>
        <w:jc w:val="center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b/>
          <w:bCs/>
          <w:sz w:val="28"/>
          <w:szCs w:val="22"/>
        </w:rPr>
        <w:outlineLvl w:val="0"/>
      </w:pPr>
      <w:r>
        <w:rPr>
          <w:b/>
          <w:bCs/>
          <w:sz w:val="28"/>
          <w:szCs w:val="28"/>
          <w:lang w:eastAsia="en-US"/>
        </w:rPr>
        <w:t xml:space="preserve">3. </w:t>
      </w:r>
      <w:r>
        <w:rPr>
          <w:b/>
          <w:bCs/>
          <w:sz w:val="28"/>
          <w:szCs w:val="28"/>
          <w:lang w:eastAsia="en-US"/>
        </w:rPr>
        <w:t xml:space="preserve">Управление Учреждением</w:t>
      </w:r>
      <w:r>
        <w:rPr>
          <w:b/>
          <w:sz w:val="28"/>
          <w:lang w:eastAsia="en-US"/>
        </w:rPr>
      </w:r>
    </w:p>
    <w:p>
      <w:pPr>
        <w:pStyle w:val="680"/>
        <w:ind w:firstLine="567"/>
        <w:jc w:val="both"/>
        <w:widowControl w:val="off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  <w:r/>
    </w:p>
    <w:p>
      <w:pPr>
        <w:pStyle w:val="680"/>
        <w:numPr>
          <w:ilvl w:val="0"/>
          <w:numId w:val="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Учреждением осуществляется в соответствии                          с законодательством Российской Федерации, на основе сочетания принципов единоначалия и коллегиальности.</w:t>
      </w:r>
      <w:r/>
    </w:p>
    <w:p>
      <w:pPr>
        <w:pStyle w:val="680"/>
        <w:numPr>
          <w:ilvl w:val="0"/>
          <w:numId w:val="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pStyle w:val="680"/>
        <w:numPr>
          <w:ilvl w:val="0"/>
          <w:numId w:val="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Компетенция  Учредителя в отношении Учреждения: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Учреждения, внесение изменений                              и дополнений в Устав.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и о закрытии его представительств.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сохранностью и использованием закрепленного                      за Учреждением имущества в целях обеспечения деятельности в соответствии    с настоящим Уставом.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деятельности Учреждения.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и ликвидация Учреждения.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передаточного акта, разделительного баланса.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заведующего Учреждением и прекращение                         его полномочий, а также заключение и прекращение трудового договора с ним. 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утверждение муниципального задания                            в соответствии с основными видами деятельности Учреждения.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Одобрение сделок, в совершении которых имеется заинтересованность.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перечня особо ценного движимого имущества.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распоряжения особо ценным движимым имуществом, в том числе, передачи его в аренду.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плана финансово-хозяйственной деятельности Учреждения.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Премирование, награждение работников Учреждения.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деятельностью Учреждения                          в соответствии с законодательством Российской Федерации.</w:t>
      </w:r>
      <w:r/>
    </w:p>
    <w:p>
      <w:pPr>
        <w:pStyle w:val="68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иных вопросов, предусмотренных действующим законодательством Российской Федерации, нормативными  правовыми  актами   Белгородской   области,   органов   местного   самоуправления. 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 назначается   и  освобождается   от   занимаемой должности в соответствии с Трудовым законодательством Российской Федерации на сроки и условиях заключенного трудового договора (контракта).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 должен иметь высшее образование             </w:t>
      </w:r>
      <w:r>
        <w:rPr>
          <w:sz w:val="28"/>
          <w:szCs w:val="28"/>
          <w:lang w:eastAsia="en-US"/>
        </w:rPr>
        <w:t xml:space="preserve">            и соответствовать квалификационным требованиям, указанным 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</w:pPr>
      <w:r>
        <w:rPr>
          <w:sz w:val="28"/>
          <w:szCs w:val="28"/>
          <w:lang w:eastAsia="en-US"/>
        </w:rPr>
        <w:t xml:space="preserve">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проходит обязательную аттестацию.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 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организует выполнение решений Учредителя                           по вопросам деятельности Учреждения, принятым в рамках компетенции Учредителя.</w:t>
      </w:r>
      <w:r/>
    </w:p>
    <w:p>
      <w:pPr>
        <w:pStyle w:val="680"/>
        <w:numPr>
          <w:ilvl w:val="0"/>
          <w:numId w:val="13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без доверенности действует от имени Учреждения,                     в т. ч.: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на работу работников, заключает и расторгает трудовые договоры, утверждает штатное расписание Учреждения, должностные инструкции работников.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локальные нормативные акты, регламентирующие деятельность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открытие лицевых счетов в финансовых органах.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Выдает доверенности на право представительства от имени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Издает приказы, дает поручения и распоряжения, обязательные для исполнения всеми работниками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Контролирует работу Учреждения и обеспечивает эффективное взаимодействие с другими организациями и учреждениями.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Планирует и организует работу Учреждения в целом          </w:t>
      </w:r>
      <w:r>
        <w:rPr>
          <w:sz w:val="28"/>
          <w:szCs w:val="28"/>
          <w:lang w:eastAsia="en-US"/>
        </w:rPr>
        <w:t xml:space="preserve">                              и образовательный процесс, в частности, осуществляет контроль за ходом                        и результатами образовательного процесса, отвечает за качество                                    и эффективность работы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работу по исполнению решений коллегиальных органов управления Учреждением.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работу по подготовке Учреждения                                           к лицензированию, а также по проведению выборов в коллегиальные органы управления Учреждением.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графики работы и педагогическую нагрузку работников.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Создает</w:t>
        <w:tab/>
        <w:t xml:space="preserve">условия для обеспечения охраны жизни и здоровья воспитанников и работников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учет, сохранность и пополнение учебно-материальной базы, учет и хранение документации.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соблюдение порядка защиты персональных данных.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Назначает ответственных лиц за соблюдение требований охраны труда, техники безопасности и пожарной безопасности в помещениях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Проводит совещания, инструктажи, иные действия со всеми работниками Учреждения по вопросам деятельности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Распределяет обязанности между работниками Учреждения.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прием воспитанников в Учреждение.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решения о привлечении работников                  </w:t>
      </w:r>
      <w:r>
        <w:rPr>
          <w:sz w:val="28"/>
          <w:szCs w:val="28"/>
          <w:lang w:eastAsia="en-US"/>
        </w:rPr>
        <w:t xml:space="preserve">                               к дисциплинарной ответственности, о поощрении работников Учреждения                   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pStyle w:val="680"/>
        <w:numPr>
          <w:ilvl w:val="0"/>
          <w:numId w:val="1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иные полномочия, предусмотренные действующим законодательством Российской Федерации, нормативными правовыми актами Белгородской области, органов местного самоуправления                     и локальными актами Учреждения.</w:t>
      </w:r>
      <w:r/>
    </w:p>
    <w:p>
      <w:pPr>
        <w:pStyle w:val="680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 Учреждении формируются коллегиальные органы управления, к которым относятся: общее собрание работников Учреждения (далее по тексту – Общее собрание), Педагогический совет.</w:t>
      </w:r>
      <w:r/>
    </w:p>
    <w:p>
      <w:pPr>
        <w:pStyle w:val="680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</w:rPr>
        <w:t xml:space="preserve">Общее собрание работников Учреждения является коллегиальным органом управления, в компетенцию которого входит принятие решений по следующим вопросам:</w:t>
      </w:r>
      <w:r>
        <w:rPr>
          <w:sz w:val="28"/>
          <w:szCs w:val="22"/>
          <w:lang w:eastAsia="en-US"/>
        </w:rPr>
      </w:r>
      <w:r/>
    </w:p>
    <w:p>
      <w:pPr>
        <w:pStyle w:val="68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предложений в программу развития Учреждения.</w:t>
      </w:r>
      <w:r/>
    </w:p>
    <w:p>
      <w:pPr>
        <w:pStyle w:val="68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Устава Учреждения, изменений                         и дополнений к нему.</w:t>
      </w:r>
      <w:r/>
    </w:p>
    <w:p>
      <w:pPr>
        <w:pStyle w:val="680"/>
        <w:numPr>
          <w:ilvl w:val="0"/>
          <w:numId w:val="2"/>
        </w:numPr>
        <w:jc w:val="both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правил внутреннего трудового распорядка </w:t>
      </w:r>
      <w:r>
        <w:rPr>
          <w:sz w:val="28"/>
          <w:szCs w:val="28"/>
        </w:rPr>
        <w:t xml:space="preserve">Учреждения</w:t>
      </w:r>
      <w:r>
        <w:rPr>
          <w:color w:val="000000"/>
          <w:sz w:val="28"/>
          <w:szCs w:val="28"/>
        </w:rPr>
        <w:t xml:space="preserve">, П</w:t>
      </w:r>
      <w:r>
        <w:rPr>
          <w:sz w:val="28"/>
          <w:szCs w:val="28"/>
        </w:rPr>
        <w:t xml:space="preserve">оложения о порядке и условиях распределения стимулирующих выплат работникам Учреждения и иных локальных нормативных актов                         в соответствии с установленной компетенцией</w:t>
      </w:r>
      <w:r>
        <w:rPr>
          <w:color w:val="000000"/>
          <w:sz w:val="28"/>
          <w:szCs w:val="28"/>
        </w:rPr>
        <w:t xml:space="preserve"> по представлению заведующего.</w:t>
      </w:r>
      <w:r/>
    </w:p>
    <w:p>
      <w:pPr>
        <w:pStyle w:val="680"/>
        <w:numPr>
          <w:ilvl w:val="0"/>
          <w:numId w:val="2"/>
        </w:numPr>
        <w:jc w:val="both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решения о необходимости заключения коллективного договора.</w:t>
      </w:r>
      <w:r/>
    </w:p>
    <w:p>
      <w:pPr>
        <w:pStyle w:val="68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Избрание состава комиссии по трудовым спорам.</w:t>
      </w:r>
      <w:r/>
    </w:p>
    <w:p>
      <w:pPr>
        <w:pStyle w:val="68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списка работников Учреждения, представляемых                   к награждению на государственном, ведомственном, региональном                              и муниципальном уровнях.</w:t>
      </w:r>
      <w:r/>
    </w:p>
    <w:p>
      <w:pPr>
        <w:pStyle w:val="68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полномочия, предусмотренные законодательством Российской Федерации и локальными актами Учреждения.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действует бессрочно и включает в себя работников Учреждения на дату проведения Общего собрания, работающих                 на условиях полного рабочего дня по основному месту работы в Учреждении.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созывается по необходимости,                        но не реже двух раз в год. Решение о созыве Общего собрания работников принимает заведующий.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ведения Общего собрания открытым голосованием избирается его председатель и секретарь сроком на 1 год.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считается состоявшимся, если на нем присутствовало более половины работников Учреждения.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Общего собрания принимаются простым большинством голосов и оформляются протоколом.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решений организуется заведующим. Заведующий отчитывается на очередном Общем собрании работников об исполнении                        и (или) о ходе исполнения решений предыдущего Общего собрания.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Общего собрания работников Учреждения после принятия носят рекомендательный характер, а после утверждения заведующим становятся обязательными для исполнения всеми работниками Учреждения.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является постоянно действующим коллегиальным органом управления, который создается                      для рассмотрения основных вопросов образовательного процесса.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Членами Педагогического совета являются все педагогические работники (в т. ч. совместители), а также </w:t>
      </w:r>
      <w:r>
        <w:rPr>
          <w:sz w:val="28"/>
          <w:szCs w:val="28"/>
        </w:rPr>
        <w:t xml:space="preserve">иные работники Учреждения,                   чья деятельность связана с содержанием и организацией образовательного процесса. Председателем Педагогического совета является заведующий Учреждением. Секретарь Педагогического совета избирается сроком на 1 год.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по вопросам, входящим в его компетенцию, правомочны, если на заседании присутствовало                                     не менее 2/3 состава  его членов.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принимаются простым большинством голосов.                         При равенстве голосов голос председателя Педагогического совета является решающим.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проводятся не реже четырех раз в год. </w:t>
      </w:r>
      <w:r/>
    </w:p>
    <w:p>
      <w:pPr>
        <w:pStyle w:val="680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Компетенция Педагогического совета: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учебных планов, программ, учебно-методических материалов, форм, методов образовательного процесса                             и способов их реализации.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по повышению квалификации педагогических работников, развитию их творческой инициативы, распространению передового педагогического опыта.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направлений опытно-экспериментальной работы.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Выявление, обобщение, распространение, внедрение педагогического опыта.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вопросов организации платных дополнительных образовательных услуг, их содержания и качества.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локальных нормативных актов, регламентирующих организацию образовательного процесса.</w:t>
      </w:r>
      <w:r/>
    </w:p>
    <w:p>
      <w:pPr>
        <w:pStyle w:val="680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иных полномочий, предусмотренных действующим законодательством Российской Федерации и локальными актами Учреждения.</w:t>
      </w:r>
      <w:r/>
    </w:p>
    <w:p>
      <w:pPr>
        <w:pStyle w:val="680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учета мнения родителей (законных представителей) воспитанников по вопросам </w:t>
      </w:r>
      <w:r>
        <w:rPr>
          <w:sz w:val="28"/>
          <w:szCs w:val="28"/>
        </w:rPr>
        <w:t xml:space="preserve">управления Учреждением и при принятии локальных нормативных актов, затрагивающих их права и законные интересы, родители (законные представители) могут быть приглашены на заседания коллегиальных органов управления Учреждением с правом совещательного голоса.</w:t>
      </w:r>
      <w:r/>
    </w:p>
    <w:p>
      <w:pPr>
        <w:pStyle w:val="680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созыве внеочередного заседания коллегиального органа (Общего собрания, Педагогического совета) принимается Заведующим.</w:t>
      </w:r>
      <w:r/>
    </w:p>
    <w:p>
      <w:pPr>
        <w:pStyle w:val="680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учета мнения родителей (законных представителей) несовершеннолетних воспитанников по вопросам управления Учреждением                   и при принятии локальных нормативных актов, затрагивающих права             </w:t>
      </w:r>
      <w:r>
        <w:rPr>
          <w:sz w:val="28"/>
          <w:szCs w:val="28"/>
        </w:rPr>
        <w:t xml:space="preserve">              и законные интересы несовершеннолетних воспитанников и их родителей (законных представителей) в Учреждении создан совет родителей (законных представителей) несовершеннолетних воспитанников Учреждения, действующий на основании Положения о нем.</w:t>
      </w:r>
      <w:r/>
    </w:p>
    <w:p>
      <w:pPr>
        <w:pStyle w:val="680"/>
        <w:jc w:val="center"/>
        <w:widowControl w:val="off"/>
        <w:rPr>
          <w:rFonts w:ascii="Times New Roman CYR" w:hAnsi="Times New Roman CYR"/>
          <w:i/>
          <w:iCs/>
          <w:sz w:val="28"/>
          <w:szCs w:val="28"/>
        </w:rPr>
      </w:pPr>
      <w:r>
        <w:rPr>
          <w:rFonts w:ascii="Times New Roman CYR" w:hAnsi="Times New Roman CYR"/>
          <w:i/>
          <w:iCs/>
          <w:sz w:val="28"/>
          <w:szCs w:val="28"/>
        </w:rPr>
      </w:r>
      <w:r/>
    </w:p>
    <w:p>
      <w:pPr>
        <w:pStyle w:val="680"/>
        <w:ind w:left="709" w:firstLine="0"/>
        <w:jc w:val="center"/>
        <w:widowControl w:val="off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4. Имущество и финансовое обеспечение деятельности</w:t>
      </w:r>
      <w:r>
        <w:rPr>
          <w:b/>
          <w:sz w:val="28"/>
        </w:rPr>
      </w:r>
    </w:p>
    <w:p>
      <w:pPr>
        <w:pStyle w:val="680"/>
        <w:ind w:firstLine="709"/>
        <w:jc w:val="center"/>
        <w:widowControl w:val="off"/>
        <w:rPr>
          <w:rFonts w:ascii="Times New Roman CYR" w:hAnsi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</w:r>
      <w:r/>
    </w:p>
    <w:p>
      <w:pPr>
        <w:pStyle w:val="680"/>
        <w:numPr>
          <w:ilvl w:val="0"/>
          <w:numId w:val="17"/>
        </w:num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Имущество Учреждения является муниципальной собственностью                   и закреплено за Учреждением на праве оперативного управления                                 в установленном законодательстве порядке.</w:t>
      </w:r>
      <w:r/>
    </w:p>
    <w:p>
      <w:pPr>
        <w:pStyle w:val="680"/>
        <w:numPr>
          <w:ilvl w:val="0"/>
          <w:numId w:val="17"/>
        </w:num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 </w:t>
      </w:r>
      <w:r/>
    </w:p>
    <w:p>
      <w:pPr>
        <w:pStyle w:val="680"/>
        <w:numPr>
          <w:ilvl w:val="0"/>
          <w:numId w:val="17"/>
        </w:numPr>
        <w:ind w:firstLine="709"/>
        <w:jc w:val="both"/>
        <w:widowControl w:val="o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самостоятельно осуществляет финансово-хозяйственную деятельность,  имеет самостоятельный баланс</w:t>
      </w:r>
      <w:r>
        <w:rPr>
          <w:rFonts w:ascii="Times New Roman CYR" w:hAnsi="Times New Roman CYR"/>
          <w:sz w:val="28"/>
          <w:szCs w:val="28"/>
        </w:rPr>
        <w:t xml:space="preserve">,  печать установленного образца и штамп,  содержащие его полное наименование на русском языке.</w:t>
      </w:r>
      <w:r>
        <w:rPr>
          <w:sz w:val="28"/>
          <w:szCs w:val="28"/>
        </w:rPr>
      </w:r>
      <w:r/>
    </w:p>
    <w:p>
      <w:pPr>
        <w:pStyle w:val="680"/>
        <w:numPr>
          <w:ilvl w:val="0"/>
          <w:numId w:val="17"/>
        </w:numPr>
        <w:ind w:firstLine="709"/>
        <w:jc w:val="both"/>
        <w:widowControl w:val="o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Источниками формирования имущества Учреждения</w:t>
      </w:r>
      <w:r>
        <w:rPr>
          <w:sz w:val="28"/>
          <w:szCs w:val="28"/>
        </w:rPr>
        <w:t xml:space="preserve"> в денежной                   и иных формах являются:</w:t>
      </w:r>
      <w:r/>
    </w:p>
    <w:p>
      <w:pPr>
        <w:pStyle w:val="68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и внебюджетные средства.</w:t>
      </w:r>
      <w:r/>
    </w:p>
    <w:p>
      <w:pPr>
        <w:pStyle w:val="68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8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Добровольные пожертвования физических и юридических лиц                   и целевые взносы.</w:t>
      </w:r>
      <w:r/>
    </w:p>
    <w:p>
      <w:pPr>
        <w:pStyle w:val="68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/>
    </w:p>
    <w:p>
      <w:pPr>
        <w:pStyle w:val="680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источники в соответствии с законодательством Российской Федерации.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Доходы, полученные от приносящей доход деятельности,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осуществляет операции с поступающими ему                            в соответствии с законодательством Российской Федерации средствами через лицевые счета, открываемые в территориальном органе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</w:rPr>
        <w:t xml:space="preserve"> Федерального казначейства субъекта Российской Федерации  в порядке, установленном законодательством Российской Федерации.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отвечает по своим об</w:t>
      </w:r>
      <w:r>
        <w:rPr>
          <w:color w:val="000000"/>
          <w:sz w:val="28"/>
          <w:szCs w:val="28"/>
        </w:rPr>
        <w:t xml:space="preserve">язательствам всем находящимся                  у него на праве оперативного управления имуществом, как закрепленным 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color w:val="000000"/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Крупная сделка может быть совер</w:t>
      </w:r>
      <w:r>
        <w:rPr>
          <w:color w:val="000000"/>
          <w:sz w:val="28"/>
          <w:szCs w:val="28"/>
        </w:rPr>
        <w:t xml:space="preserve">шена Учреждением только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и в иных, предусмотренных законодательством случаях.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Крупной сделкой признается сделк</w:t>
      </w:r>
      <w:r>
        <w:rPr>
          <w:color w:val="000000"/>
          <w:sz w:val="28"/>
          <w:szCs w:val="28"/>
        </w:rPr>
        <w:t xml:space="preserve">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в пользование </w:t>
      </w:r>
      <w:r>
        <w:rPr>
          <w:color w:val="000000"/>
          <w:sz w:val="28"/>
          <w:szCs w:val="28"/>
        </w:rPr>
        <w:t xml:space="preserve">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   его бухгалтерской отчетности на последнюю </w:t>
      </w:r>
      <w:r>
        <w:rPr>
          <w:color w:val="000000"/>
          <w:sz w:val="28"/>
          <w:szCs w:val="28"/>
          <w:lang w:val="en-US"/>
        </w:rPr>
        <w:t xml:space="preserve">отчетную дату.</w:t>
      </w:r>
      <w:r>
        <w:rPr>
          <w:color w:val="000000"/>
          <w:sz w:val="28"/>
          <w:szCs w:val="28"/>
        </w:rPr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Заведующий Учреждением несет ответственность в размере убытков, причиненных в результате совершения крупной сделки с нарушением законодательства, независимо от того, была ли эта сделка признана недействительной.</w:t>
      </w:r>
      <w:r>
        <w:rPr>
          <w:color w:val="000000"/>
          <w:sz w:val="28"/>
          <w:szCs w:val="28"/>
        </w:rPr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Собственник имущества Учреждения не несет ответственности                   по обязательствам Учреждения.</w:t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color w:val="000000"/>
          <w:sz w:val="28"/>
          <w:szCs w:val="28"/>
        </w:rPr>
      </w:r>
      <w:r/>
    </w:p>
    <w:p>
      <w:pPr>
        <w:pStyle w:val="680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свободно в выборе форм и предмета договоров 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color w:val="000000"/>
          <w:sz w:val="28"/>
          <w:szCs w:val="28"/>
        </w:rPr>
      </w:r>
      <w:r/>
    </w:p>
    <w:p>
      <w:pPr>
        <w:pStyle w:val="68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</w:r>
      <w:r/>
    </w:p>
    <w:p>
      <w:pPr>
        <w:pStyle w:val="680"/>
        <w:ind w:left="851" w:firstLine="0"/>
        <w:jc w:val="center"/>
        <w:rPr>
          <w:b/>
          <w:bCs/>
          <w:color w:val="000000"/>
          <w:spacing w:val="-2"/>
          <w:sz w:val="28"/>
          <w:szCs w:val="28"/>
        </w:rPr>
        <w:outlineLvl w:val="0"/>
      </w:pPr>
      <w:r>
        <w:rPr>
          <w:b/>
          <w:bCs/>
          <w:color w:val="000000"/>
          <w:spacing w:val="-2"/>
          <w:sz w:val="28"/>
          <w:szCs w:val="28"/>
        </w:rPr>
        <w:t xml:space="preserve">5. Порядок принятия локальных нормативных актов</w:t>
      </w:r>
      <w:r>
        <w:rPr>
          <w:b/>
          <w:bCs/>
          <w:color w:val="000000"/>
          <w:spacing w:val="-2"/>
          <w:sz w:val="28"/>
          <w:szCs w:val="28"/>
        </w:rPr>
      </w:r>
      <w:r>
        <w:rPr>
          <w:b/>
          <w:color w:val="000000"/>
          <w:spacing w:val="-2"/>
          <w:sz w:val="28"/>
        </w:rPr>
      </w:r>
    </w:p>
    <w:p>
      <w:pPr>
        <w:pStyle w:val="680"/>
        <w:ind w:firstLine="851"/>
        <w:jc w:val="center"/>
        <w:widowControl w:val="off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Федерации,                   в порядке, установленном настоящим Уставом.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 </w:t>
      </w:r>
      <w:r>
        <w:rPr>
          <w:sz w:val="28"/>
          <w:szCs w:val="28"/>
        </w:rPr>
        <w:t xml:space="preserve">нормативного характера, положения, правила, инструкции и т.п. Указанный перечень видов локальных нормативных актов не является исчерпывающим, в зависимости от конкретных условий деятельности Учреждения им могут приниматься иные локальные нормативные акты. 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разработке и принятии локальных нормативных актов принимает заведующий. 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локального нормативного акта до его утверждения заведующим направляется для принятия коллегиальными органами управления в соответствии с их компетенцией, предусмотренной настоящим Уставом.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утверждаются приказом заведующего и вступают в силу с даты, указанной в приказе.  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</w:t>
      </w:r>
      <w:r>
        <w:rPr>
          <w:sz w:val="28"/>
          <w:szCs w:val="28"/>
        </w:rPr>
        <w:t xml:space="preserve">ожение воспитанников или работников Учреждения по сравнению с установленным законодательством об образовании, трудовым законодательством, положением, либо принятые с нарушением установленного порядка, не применяются                       и подлежат отмене.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локальный нормативный акт подлежит размещению на официальном сайте Учреждения.</w:t>
      </w:r>
      <w:r/>
    </w:p>
    <w:p>
      <w:pPr>
        <w:pStyle w:val="680"/>
        <w:numPr>
          <w:ilvl w:val="0"/>
          <w:numId w:val="20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Учреждением создаются условия для ознакомления всех участников образовательных отношений  с настоящим Уставом. </w:t>
      </w:r>
      <w:r/>
    </w:p>
    <w:p>
      <w:pPr>
        <w:pStyle w:val="680"/>
        <w:jc w:val="center"/>
        <w:spacing w:after="100" w:afterAutospacing="1" w:before="100" w:beforeAutospacing="1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6. Реорганизация и ликвидация Учреждения</w:t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Учреждение может быть рео</w:t>
      </w:r>
      <w:r>
        <w:rPr>
          <w:sz w:val="28"/>
          <w:szCs w:val="28"/>
        </w:rPr>
        <w:t xml:space="preserve">рганизовано или ликвидировано                    по решению Учредителя 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реорганизации или ликвидации  Учреждения, Учредитель берет на себя ответственность за перевод воспитанников в другие Учреждения                   по согласованию с родителями (законными представителями) воспитанников.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ликвидации и реорганизации Учреждения, высвобождаемым работникам гарантируется соблюдение их прав и интересов в соответствии                 с законодательством Российской Федерации.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– на государственное хранение.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numPr>
          <w:ilvl w:val="0"/>
          <w:numId w:val="21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ind w:left="851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  <w:r/>
    </w:p>
    <w:p>
      <w:pPr>
        <w:pStyle w:val="680"/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7. Порядок изменения Устава</w:t>
      </w:r>
      <w:r/>
    </w:p>
    <w:p>
      <w:pPr>
        <w:pStyle w:val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80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(или) дополнения в настоящий Устав (Устав в новой редакции) разрабатываются и принимаются Общим собранием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z w:val="28"/>
          <w:szCs w:val="28"/>
          <w:lang w:val="en-US"/>
        </w:rPr>
        <w:t xml:space="preserve">-</w:t>
      </w:r>
      <w:r>
        <w:rPr>
          <w:sz w:val="28"/>
          <w:szCs w:val="28"/>
        </w:rPr>
        <w:t xml:space="preserve">правовым актом Учредителя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80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/>
    </w:p>
    <w:p>
      <w:pPr>
        <w:pStyle w:val="680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Устав вступают в силу с момента их государственной регистрации.</w:t>
      </w:r>
      <w:r/>
    </w:p>
    <w:p>
      <w:pPr>
        <w:pStyle w:val="680"/>
        <w:ind w:firstLine="709"/>
        <w:jc w:val="both"/>
        <w:rPr>
          <w:b/>
          <w:bCs/>
          <w:sz w:val="28"/>
          <w:szCs w:val="28"/>
        </w:rPr>
      </w:pPr>
      <w:r>
        <w:rPr>
          <w:vanish/>
          <w:sz w:val="28"/>
          <w:szCs w:val="28"/>
        </w:rPr>
        <w:t xml:space="preserve"> (см. текст в предыдущей редакции)</w:t>
      </w:r>
      <w:r>
        <w:rPr>
          <w:b/>
          <w:bCs/>
          <w:sz w:val="28"/>
          <w:szCs w:val="28"/>
        </w:rPr>
      </w:r>
      <w:r/>
    </w:p>
    <w:p>
      <w:pPr>
        <w:pStyle w:val="680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 cyr">
    <w:panose1 w:val="02000603000000000000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  <w:jc w:val="center"/>
    </w:pPr>
    <w:r>
      <w:rPr>
        <w:sz w:val="28"/>
        <w:szCs w:val="28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7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680"/>
        <w:ind w:left="0" w:firstLine="851"/>
      </w:pPr>
      <w:rPr>
        <w:rFonts w:ascii="Times New Roman" w:hAnsi="Times New Roman"/>
        <w:b w:val="false"/>
        <w:i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5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29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0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7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45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1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8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615" w:hanging="180"/>
      </w:pPr>
    </w:lvl>
  </w:abstractNum>
  <w:abstractNum w:abstractNumId="1">
    <w:multiLevelType w:val="hybridMultilevel"/>
    <w:lvl w:ilvl="0">
      <w:start w:val="14"/>
      <w:numFmt w:val="decimal"/>
      <w:isLgl w:val="false"/>
      <w:suff w:val="space"/>
      <w:lvlText w:val="1.%1."/>
      <w:lvlJc w:val="left"/>
      <w:pPr>
        <w:pStyle w:val="680"/>
        <w:ind w:left="0" w:firstLine="851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3.12.%1."/>
      <w:lvlJc w:val="left"/>
      <w:pPr>
        <w:pStyle w:val="68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7189" w:hanging="180"/>
      </w:pPr>
    </w:lvl>
  </w:abstractNum>
  <w:abstractNum w:abstractNumId="3">
    <w:multiLevelType w:val="hybridMultilevel"/>
    <w:lvl w:ilvl="0">
      <w:start w:val="15"/>
      <w:numFmt w:val="decimal"/>
      <w:isLgl w:val="false"/>
      <w:suff w:val="space"/>
      <w:lvlText w:val="3.%1."/>
      <w:lvlJc w:val="left"/>
      <w:pPr>
        <w:pStyle w:val="680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4">
    <w:multiLevelType w:val="hybridMultilevel"/>
    <w:lvl w:ilvl="0">
      <w:start w:val="13"/>
      <w:numFmt w:val="decimal"/>
      <w:isLgl w:val="false"/>
      <w:suff w:val="tab"/>
      <w:lvlText w:val="3.%1."/>
      <w:lvlJc w:val="left"/>
      <w:pPr>
        <w:pStyle w:val="680"/>
        <w:ind w:left="1429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80"/>
        <w:ind w:left="1260" w:hanging="360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702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3.27.%1."/>
      <w:lvlJc w:val="left"/>
      <w:pPr>
        <w:pStyle w:val="680"/>
        <w:ind w:left="0" w:firstLine="851"/>
      </w:pPr>
    </w:lvl>
    <w:lvl w:ilvl="1">
      <w:start w:val="1"/>
      <w:numFmt w:val="decimal"/>
      <w:isLgl w:val="false"/>
      <w:suff w:val="tab"/>
      <w:lvlText w:val="%2."/>
      <w:lvlJc w:val="left"/>
      <w:pPr>
        <w:pStyle w:val="680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80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80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80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80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80"/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pStyle w:val="680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1.7.%1."/>
      <w:lvlJc w:val="left"/>
      <w:pPr>
        <w:pStyle w:val="68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9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6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3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40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8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62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960" w:hanging="180"/>
      </w:pPr>
    </w:lvl>
  </w:abstractNum>
  <w:abstractNum w:abstractNumId="9">
    <w:multiLevelType w:val="hybridMultilevel"/>
    <w:lvl w:ilvl="0">
      <w:start w:val="8"/>
      <w:numFmt w:val="decimal"/>
      <w:isLgl w:val="false"/>
      <w:suff w:val="space"/>
      <w:lvlText w:val="1.%1."/>
      <w:lvlJc w:val="left"/>
      <w:pPr>
        <w:pStyle w:val="680"/>
        <w:ind w:left="0" w:firstLine="851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68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69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3.3.%1."/>
      <w:lvlJc w:val="left"/>
      <w:pPr>
        <w:pStyle w:val="68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23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30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7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45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52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9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66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73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68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8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8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4">
    <w:multiLevelType w:val="hybridMultilevel"/>
    <w:lvl w:ilvl="0">
      <w:start w:val="5"/>
      <w:numFmt w:val="decimal"/>
      <w:isLgl w:val="false"/>
      <w:suff w:val="space"/>
      <w:lvlText w:val="4.%1."/>
      <w:lvlJc w:val="left"/>
      <w:pPr>
        <w:pStyle w:val="68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space"/>
      <w:lvlText w:val="3.%1."/>
      <w:lvlJc w:val="left"/>
      <w:pPr>
        <w:pStyle w:val="680"/>
        <w:ind w:left="851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6">
    <w:multiLevelType w:val="hybridMultilevel"/>
    <w:lvl w:ilvl="0">
      <w:start w:val="0"/>
      <w:numFmt w:val="decimal"/>
      <w:isLgl w:val="false"/>
      <w:suff w:val="space"/>
      <w:lvlText w:val="2.2%1."/>
      <w:lvlJc w:val="left"/>
      <w:pPr>
        <w:pStyle w:val="680"/>
        <w:ind w:left="1418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1.%1."/>
      <w:lvlJc w:val="left"/>
      <w:pPr>
        <w:pStyle w:val="680"/>
        <w:ind w:left="0" w:firstLine="851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8">
    <w:multiLevelType w:val="hybridMultilevel"/>
    <w:lvl w:ilvl="0">
      <w:start w:val="28"/>
      <w:numFmt w:val="decimal"/>
      <w:isLgl w:val="false"/>
      <w:suff w:val="space"/>
      <w:lvlText w:val="3.%1."/>
      <w:lvlJc w:val="left"/>
      <w:pPr>
        <w:pStyle w:val="680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4.4.%1."/>
      <w:lvlJc w:val="left"/>
      <w:pPr>
        <w:pStyle w:val="680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68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3.14.%1."/>
      <w:lvlJc w:val="left"/>
      <w:pPr>
        <w:pStyle w:val="680"/>
        <w:ind w:left="0" w:firstLine="851"/>
      </w:pPr>
    </w:lvl>
    <w:lvl w:ilvl="1">
      <w:start w:val="1"/>
      <w:numFmt w:val="decimal"/>
      <w:isLgl w:val="false"/>
      <w:suff w:val="tab"/>
      <w:lvlText w:val="%2."/>
      <w:lvlJc w:val="left"/>
      <w:pPr>
        <w:pStyle w:val="680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80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80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80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80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80"/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1.13.%1."/>
      <w:lvlJc w:val="left"/>
      <w:pPr>
        <w:pStyle w:val="68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825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pStyle w:val="68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718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8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0"/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7"/>
  </w:num>
  <w:num w:numId="4">
    <w:abstractNumId w:val="8"/>
  </w:num>
  <w:num w:numId="5">
    <w:abstractNumId w:val="9"/>
  </w:num>
  <w:num w:numId="6">
    <w:abstractNumId w:val="22"/>
  </w:num>
  <w:num w:numId="7">
    <w:abstractNumId w:val="1"/>
  </w:num>
  <w:num w:numId="8">
    <w:abstractNumId w:val="24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5"/>
  </w:num>
  <w:num w:numId="14">
    <w:abstractNumId w:val="3"/>
  </w:num>
  <w:num w:numId="15">
    <w:abstractNumId w:val="6"/>
  </w:num>
  <w:num w:numId="16">
    <w:abstractNumId w:val="18"/>
  </w:num>
  <w:num w:numId="17">
    <w:abstractNumId w:val="12"/>
  </w:num>
  <w:num w:numId="18">
    <w:abstractNumId w:val="19"/>
  </w:num>
  <w:num w:numId="19">
    <w:abstractNumId w:val="14"/>
  </w:num>
  <w:num w:numId="20">
    <w:abstractNumId w:val="10"/>
  </w:num>
  <w:num w:numId="21">
    <w:abstractNumId w:val="0"/>
  </w:num>
  <w:num w:numId="22">
    <w:abstractNumId w:val="20"/>
  </w:num>
  <w:num w:numId="23">
    <w:abstractNumId w:val="23"/>
  </w:num>
  <w:num w:numId="24">
    <w:abstractNumId w:val="7"/>
  </w:num>
  <w:num w:numId="25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80">
    <w:name w:val="Обычный"/>
    <w:next w:val="680"/>
    <w:link w:val="680"/>
    <w:rPr>
      <w:rFonts w:ascii="Times New Roman" w:hAnsi="Times New Roman" w:eastAsia="Times New Roman"/>
      <w:sz w:val="24"/>
      <w:lang w:val="ru-RU" w:bidi="ar-SA" w:eastAsia="ru-RU"/>
    </w:rPr>
  </w:style>
  <w:style w:type="paragraph" w:styleId="681">
    <w:name w:val="Заголовок 1"/>
    <w:basedOn w:val="680"/>
    <w:next w:val="680"/>
    <w:link w:val="685"/>
    <w:rPr>
      <w:sz w:val="28"/>
      <w:lang w:val="en-US" w:eastAsia="en-US"/>
    </w:rPr>
    <w:pPr>
      <w:keepNext/>
      <w:outlineLvl w:val="0"/>
    </w:pPr>
  </w:style>
  <w:style w:type="character" w:styleId="682">
    <w:name w:val="Основной шрифт абзаца"/>
    <w:next w:val="682"/>
    <w:link w:val="680"/>
    <w:semiHidden/>
  </w:style>
  <w:style w:type="table" w:styleId="683">
    <w:name w:val="Обычная таблица"/>
    <w:next w:val="683"/>
    <w:link w:val="680"/>
    <w:semiHidden/>
    <w:tblPr/>
  </w:style>
  <w:style w:type="numbering" w:styleId="684">
    <w:name w:val="Нет списка"/>
    <w:next w:val="684"/>
    <w:link w:val="680"/>
    <w:semiHidden/>
  </w:style>
  <w:style w:type="character" w:styleId="685">
    <w:name w:val="Заголовок 1 Знак"/>
    <w:next w:val="685"/>
    <w:link w:val="681"/>
    <w:rPr>
      <w:rFonts w:ascii="Times New Roman" w:hAnsi="Times New Roman" w:eastAsia="Times New Roman"/>
      <w:sz w:val="28"/>
      <w:lang w:val="en-US" w:eastAsia="en-US"/>
    </w:rPr>
  </w:style>
  <w:style w:type="paragraph" w:styleId="686">
    <w:name w:val="Название объекта"/>
    <w:basedOn w:val="680"/>
    <w:next w:val="680"/>
    <w:link w:val="68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87">
    <w:name w:val="tekstob"/>
    <w:basedOn w:val="680"/>
    <w:next w:val="687"/>
    <w:link w:val="680"/>
    <w:rPr>
      <w:sz w:val="24"/>
      <w:szCs w:val="24"/>
    </w:rPr>
    <w:pPr>
      <w:spacing w:after="100" w:afterAutospacing="1" w:before="100" w:beforeAutospacing="1"/>
    </w:pPr>
  </w:style>
  <w:style w:type="paragraph" w:styleId="688">
    <w:name w:val="Текст выноски"/>
    <w:basedOn w:val="680"/>
    <w:next w:val="688"/>
    <w:link w:val="689"/>
    <w:rPr>
      <w:rFonts w:ascii="Tahoma" w:hAnsi="Tahoma"/>
      <w:sz w:val="16"/>
      <w:szCs w:val="16"/>
    </w:rPr>
  </w:style>
  <w:style w:type="character" w:styleId="689">
    <w:name w:val="Текст выноски Знак"/>
    <w:next w:val="689"/>
    <w:link w:val="688"/>
    <w:rPr>
      <w:rFonts w:ascii="Tahoma" w:hAnsi="Tahoma" w:eastAsia="Times New Roman"/>
      <w:sz w:val="16"/>
      <w:szCs w:val="16"/>
      <w:lang w:eastAsia="ru-RU"/>
    </w:rPr>
  </w:style>
  <w:style w:type="paragraph" w:styleId="690">
    <w:name w:val="Верхний колонтитул"/>
    <w:basedOn w:val="680"/>
    <w:next w:val="690"/>
    <w:link w:val="691"/>
    <w:pPr>
      <w:tabs>
        <w:tab w:val="center" w:pos="4677" w:leader="none"/>
        <w:tab w:val="right" w:pos="9355" w:leader="none"/>
      </w:tabs>
    </w:pPr>
  </w:style>
  <w:style w:type="character" w:styleId="691">
    <w:name w:val="Верхний колонтитул Знак"/>
    <w:next w:val="691"/>
    <w:link w:val="690"/>
    <w:rPr>
      <w:rFonts w:ascii="Times New Roman" w:hAnsi="Times New Roman" w:eastAsia="Times New Roman"/>
      <w:sz w:val="24"/>
    </w:rPr>
  </w:style>
  <w:style w:type="paragraph" w:styleId="692">
    <w:name w:val="Нижний колонтитул"/>
    <w:basedOn w:val="680"/>
    <w:next w:val="692"/>
    <w:link w:val="693"/>
    <w:pPr>
      <w:tabs>
        <w:tab w:val="center" w:pos="4677" w:leader="none"/>
        <w:tab w:val="right" w:pos="9355" w:leader="none"/>
      </w:tabs>
    </w:pPr>
  </w:style>
  <w:style w:type="character" w:styleId="693">
    <w:name w:val="Нижний колонтитул Знак"/>
    <w:next w:val="693"/>
    <w:link w:val="692"/>
    <w:rPr>
      <w:rFonts w:ascii="Times New Roman" w:hAnsi="Times New Roman" w:eastAsia="Times New Roman"/>
      <w:sz w:val="24"/>
    </w:rPr>
  </w:style>
  <w:style w:type="character" w:styleId="694">
    <w:name w:val="Заголовок №1_"/>
    <w:next w:val="694"/>
    <w:link w:val="695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95">
    <w:name w:val="Заголовок №1"/>
    <w:basedOn w:val="680"/>
    <w:next w:val="695"/>
    <w:link w:val="694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96">
    <w:name w:val="Основной текст_"/>
    <w:next w:val="696"/>
    <w:link w:val="697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97">
    <w:name w:val="Основной текст2"/>
    <w:basedOn w:val="680"/>
    <w:next w:val="697"/>
    <w:link w:val="696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98">
    <w:name w:val="Основной текст1"/>
    <w:next w:val="698"/>
    <w:link w:val="68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99">
    <w:name w:val="Абзац списка"/>
    <w:basedOn w:val="680"/>
    <w:next w:val="699"/>
    <w:link w:val="68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00">
    <w:name w:val="Обычный (веб)"/>
    <w:basedOn w:val="680"/>
    <w:next w:val="700"/>
    <w:link w:val="680"/>
    <w:rPr>
      <w:sz w:val="24"/>
      <w:szCs w:val="24"/>
    </w:rPr>
    <w:pPr>
      <w:spacing w:after="100" w:afterAutospacing="1" w:before="100" w:beforeAutospacing="1"/>
    </w:pPr>
  </w:style>
  <w:style w:type="paragraph" w:styleId="701">
    <w:name w:val="Без интервала"/>
    <w:basedOn w:val="680"/>
    <w:next w:val="701"/>
    <w:link w:val="714"/>
    <w:rPr>
      <w:rFonts w:ascii="Calibri" w:hAnsi="Calibri"/>
      <w:sz w:val="28"/>
      <w:szCs w:val="32"/>
      <w:lang w:val="en-US"/>
    </w:rPr>
  </w:style>
  <w:style w:type="character" w:styleId="702">
    <w:name w:val="Выделение"/>
    <w:next w:val="702"/>
    <w:link w:val="680"/>
    <w:rPr>
      <w:i/>
      <w:iCs/>
    </w:rPr>
  </w:style>
  <w:style w:type="paragraph" w:styleId="703">
    <w:name w:val="Основной текст с отступом"/>
    <w:basedOn w:val="680"/>
    <w:next w:val="703"/>
    <w:link w:val="704"/>
    <w:rPr>
      <w:sz w:val="28"/>
      <w:szCs w:val="28"/>
    </w:rPr>
    <w:pPr>
      <w:ind w:firstLine="708"/>
    </w:pPr>
  </w:style>
  <w:style w:type="character" w:styleId="704">
    <w:name w:val="Основной текст с отступом Знак"/>
    <w:next w:val="704"/>
    <w:link w:val="703"/>
    <w:rPr>
      <w:rFonts w:ascii="Times New Roman" w:hAnsi="Times New Roman" w:eastAsia="Times New Roman"/>
      <w:sz w:val="28"/>
      <w:szCs w:val="28"/>
    </w:rPr>
  </w:style>
  <w:style w:type="paragraph" w:styleId="705">
    <w:name w:val="Основной текст"/>
    <w:basedOn w:val="680"/>
    <w:next w:val="705"/>
    <w:link w:val="706"/>
    <w:rPr>
      <w:sz w:val="28"/>
      <w:szCs w:val="28"/>
    </w:rPr>
    <w:pPr>
      <w:spacing w:after="120"/>
    </w:pPr>
  </w:style>
  <w:style w:type="character" w:styleId="706">
    <w:name w:val="Основной текст Знак"/>
    <w:next w:val="706"/>
    <w:link w:val="705"/>
    <w:rPr>
      <w:rFonts w:ascii="Times New Roman" w:hAnsi="Times New Roman" w:eastAsia="Times New Roman"/>
      <w:sz w:val="28"/>
      <w:szCs w:val="28"/>
    </w:rPr>
  </w:style>
  <w:style w:type="character" w:styleId="707">
    <w:name w:val="Номер строки"/>
    <w:basedOn w:val="682"/>
    <w:next w:val="707"/>
    <w:link w:val="680"/>
  </w:style>
  <w:style w:type="character" w:styleId="708">
    <w:name w:val="Номер страницы"/>
    <w:basedOn w:val="682"/>
    <w:next w:val="708"/>
    <w:link w:val="680"/>
  </w:style>
  <w:style w:type="character" w:styleId="709">
    <w:name w:val="blk"/>
    <w:basedOn w:val="682"/>
    <w:next w:val="709"/>
    <w:link w:val="680"/>
  </w:style>
  <w:style w:type="character" w:styleId="710">
    <w:name w:val="u"/>
    <w:basedOn w:val="682"/>
    <w:next w:val="710"/>
    <w:link w:val="680"/>
  </w:style>
  <w:style w:type="character" w:styleId="711">
    <w:name w:val="ep"/>
    <w:basedOn w:val="682"/>
    <w:next w:val="711"/>
    <w:link w:val="680"/>
  </w:style>
  <w:style w:type="character" w:styleId="712">
    <w:name w:val="Строгий"/>
    <w:next w:val="712"/>
    <w:link w:val="680"/>
    <w:rPr>
      <w:b/>
      <w:bCs/>
    </w:rPr>
  </w:style>
  <w:style w:type="paragraph" w:styleId="713">
    <w:name w:val="Default"/>
    <w:next w:val="713"/>
    <w:link w:val="68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14">
    <w:name w:val="Без интервала Знак"/>
    <w:next w:val="714"/>
    <w:link w:val="701"/>
    <w:rPr>
      <w:rFonts w:eastAsia="Times New Roman"/>
      <w:sz w:val="28"/>
      <w:szCs w:val="32"/>
      <w:lang w:val="en-US"/>
    </w:rPr>
  </w:style>
  <w:style w:type="character" w:styleId="715">
    <w:name w:val="Сильное выделение"/>
    <w:next w:val="715"/>
    <w:link w:val="680"/>
    <w:rPr>
      <w:b/>
      <w:bCs/>
      <w:i/>
      <w:iCs/>
      <w:color w:val="4F81BD"/>
    </w:rPr>
  </w:style>
  <w:style w:type="character" w:styleId="716">
    <w:name w:val="Гиперссылка"/>
    <w:next w:val="716"/>
    <w:link w:val="680"/>
    <w:rPr>
      <w:color w:val="0000FF"/>
      <w:u w:val="single"/>
    </w:rPr>
  </w:style>
  <w:style w:type="table" w:styleId="717">
    <w:name w:val="Сетка таблицы"/>
    <w:basedOn w:val="683"/>
    <w:next w:val="717"/>
    <w:link w:val="680"/>
    <w:rPr>
      <w:rFonts w:ascii="Arial" w:hAnsi="Arial" w:eastAsia="Arial"/>
      <w:sz w:val="22"/>
      <w:szCs w:val="22"/>
      <w:lang w:eastAsia="en-US"/>
    </w:rPr>
    <w:tblPr/>
  </w:style>
  <w:style w:type="character" w:styleId="2140" w:default="1">
    <w:name w:val="Default Paragraph Font"/>
    <w:uiPriority w:val="1"/>
    <w:semiHidden/>
    <w:unhideWhenUsed/>
  </w:style>
  <w:style w:type="numbering" w:styleId="2141" w:default="1">
    <w:name w:val="No List"/>
    <w:uiPriority w:val="99"/>
    <w:semiHidden/>
    <w:unhideWhenUsed/>
  </w:style>
  <w:style w:type="paragraph" w:styleId="2142" w:default="1">
    <w:name w:val="Normal"/>
    <w:qFormat/>
  </w:style>
  <w:style w:type="table" w:styleId="21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2024-12-17T14:47:25Z</dcterms:modified>
</cp:coreProperties>
</file>