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678"/>
        <w:gridCol w:w="4786"/>
      </w:tblGrid>
      <w:tr>
        <w:trPr/>
        <w:tc>
          <w:tcPr>
            <w:tcW w:w="4678" w:type="dxa"/>
            <w:textDirection w:val="lrTb"/>
            <w:noWrap w:val="false"/>
          </w:tcPr>
          <w:p>
            <w:pPr>
              <w:jc w:val="center"/>
              <w:keepNext/>
              <w:spacing w:lineRule="auto" w:line="240" w:after="0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spacing w:lineRule="auto" w:line="247" w:after="0"/>
              <w:widowControl w:val="off"/>
              <w:rPr>
                <w:rFonts w:ascii="Times New Roman" w:hAnsi="Times New Roman" w:cs="Times New Roman" w:eastAsia="Times New Roman"/>
                <w:b/>
                <w:sz w:val="27"/>
                <w:szCs w:val="27"/>
                <w:highlight w:val="none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sz w:val="27"/>
                <w:szCs w:val="27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Приложение</w:t>
            </w:r>
            <w:r>
              <w:rPr>
                <w:b/>
              </w:rPr>
            </w:r>
            <w:r/>
          </w:p>
          <w:p>
            <w:pPr>
              <w:spacing w:lineRule="auto" w:line="247" w:after="0"/>
              <w:widowControl w:val="off"/>
              <w:rPr>
                <w:rFonts w:ascii="Times New Roman" w:hAnsi="Times New Roman" w:cs="Times New Roman" w:eastAsia="Times New Roman"/>
                <w:b/>
                <w:sz w:val="27"/>
                <w:szCs w:val="27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highlight w:val="none"/>
                <w:lang w:eastAsia="ru-RU"/>
              </w:rPr>
            </w:r>
            <w:r/>
          </w:p>
          <w:p>
            <w:pPr>
              <w:ind w:firstLine="709"/>
              <w:jc w:val="left"/>
              <w:spacing w:lineRule="auto" w:line="247" w:after="0"/>
              <w:widowControl w:val="off"/>
              <w:rPr>
                <w:rFonts w:ascii="Times New Roman" w:hAnsi="Times New Roman" w:cs="Times New Roman" w:eastAsia="Times New Roman"/>
                <w:b/>
                <w:sz w:val="27"/>
                <w:szCs w:val="27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         УТВЕРЖДЕНО</w:t>
            </w:r>
            <w:r>
              <w:rPr>
                <w:b/>
              </w:rPr>
            </w:r>
            <w:r/>
          </w:p>
          <w:p>
            <w:pPr>
              <w:ind w:left="-73" w:firstLine="73"/>
              <w:jc w:val="center"/>
              <w:spacing w:lineRule="auto" w:line="247" w:after="0"/>
              <w:widowControl w:val="off"/>
              <w:rPr>
                <w:rFonts w:ascii="Times New Roman" w:hAnsi="Times New Roman" w:cs="Times New Roman" w:eastAsia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постановлением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     Новооскольского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округа 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Белгородской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области</w:t>
            </w:r>
            <w:r>
              <w:rPr>
                <w:b/>
              </w:rPr>
            </w:r>
            <w:r/>
          </w:p>
          <w:p>
            <w:pPr>
              <w:ind w:firstLine="0"/>
              <w:spacing w:lineRule="auto" w:line="247" w:after="0"/>
              <w:widowControl w:val="off"/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     </w:t>
            </w:r>
            <w:r/>
          </w:p>
          <w:p>
            <w:pPr>
              <w:ind w:firstLine="0"/>
              <w:spacing w:lineRule="auto" w:line="247" w:after="0"/>
              <w:widowControl w:val="off"/>
              <w:rPr>
                <w:rFonts w:ascii="Times New Roman" w:hAnsi="Times New Roman" w:cs="Times New Roman" w:eastAsia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        от «____» ___________2025 г.</w:t>
            </w:r>
            <w:r>
              <w:rPr>
                <w:b/>
              </w:rPr>
            </w:r>
            <w:r/>
          </w:p>
          <w:p>
            <w:pPr>
              <w:spacing w:lineRule="auto" w:line="247" w:after="0"/>
              <w:widowControl w:val="off"/>
              <w:rPr>
                <w:rFonts w:ascii="Times New Roman" w:hAnsi="Times New Roman" w:cs="Times New Roman" w:eastAsia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 w:cs="Times New Roman" w:eastAsia="Times New Roman"/>
                <w:b/>
                <w:sz w:val="27"/>
                <w:szCs w:val="27"/>
                <w:lang w:eastAsia="ru-RU"/>
              </w:rPr>
              <w:t xml:space="preserve">№_______</w:t>
            </w:r>
            <w:r>
              <w:rPr>
                <w:b/>
              </w:rPr>
            </w:r>
            <w:r/>
          </w:p>
          <w:p>
            <w:pPr>
              <w:ind w:firstLine="0"/>
              <w:jc w:val="both"/>
              <w:spacing w:lineRule="auto" w:line="247" w:after="0"/>
              <w:widowControl w:val="off"/>
              <w:rPr>
                <w:rFonts w:ascii="Times New Roman" w:hAnsi="Times New Roman" w:cs="Times New Roman" w:eastAsia="Times New Roman"/>
                <w:sz w:val="27"/>
                <w:szCs w:val="27"/>
                <w:lang w:eastAsia="ru-RU"/>
              </w:rPr>
              <w:outlineLvl w:val="1"/>
            </w:pPr>
            <w:r>
              <w:rPr>
                <w:rFonts w:ascii="Times New Roman" w:hAnsi="Times New Roman" w:cs="Times New Roman" w:eastAsia="Times New Roman"/>
                <w:sz w:val="27"/>
                <w:szCs w:val="27"/>
                <w:lang w:eastAsia="ru-RU"/>
              </w:rPr>
            </w:r>
            <w:r/>
          </w:p>
        </w:tc>
      </w:tr>
    </w:tbl>
    <w:p>
      <w:pPr>
        <w:spacing w:lineRule="auto" w:line="247" w:after="0"/>
        <w:widowControl w:val="off"/>
        <w:rPr>
          <w:rFonts w:ascii="Times New Roman" w:hAnsi="Times New Roman" w:cs="Times New Roman" w:eastAsia="Times New Roman"/>
          <w:b/>
          <w:bCs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z w:val="27"/>
          <w:szCs w:val="27"/>
        </w:rPr>
      </w:r>
      <w:r/>
    </w:p>
    <w:p>
      <w:pPr>
        <w:ind w:firstLine="709"/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Положение </w:t>
      </w:r>
      <w:r/>
    </w:p>
    <w:p>
      <w:pPr>
        <w:ind w:firstLine="709"/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бережливом  управлении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клиентоцентричном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подходе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br/>
        <w:t xml:space="preserve">в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исполнительно-распорядительных органах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 муниципального округа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Белгородской области,</w:t>
      </w:r>
      <w:r/>
    </w:p>
    <w:p>
      <w:pPr>
        <w:ind w:firstLine="709"/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а также подведомственных им учреждениях и организациях </w:t>
      </w:r>
      <w:r/>
    </w:p>
    <w:p>
      <w:pPr>
        <w:ind w:firstLine="709"/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1. Общие положения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1.1. Положение о бережливом управлении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исполнительно-распорядительных органах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также подведомственных им учреждениях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организациях (далее – Положение) определяет условия и порядок применения принципов и ценностей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исполнительно-распорядительными органами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также подведомственными им учреждениями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организациями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1.2. Положение направлено на повышение эффективности деятельности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производительности труда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исполнительно-распорядительных органах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также подведомственных им учреждений и организаций за счёт системного применения ценностей, принципов, методов и инструментов бережливого управления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540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/>
    </w:p>
    <w:p>
      <w:pPr>
        <w:ind w:firstLine="540"/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2. Термины и определения 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Анкетирование – </w:t>
      </w:r>
      <w:r>
        <w:rPr>
          <w:rFonts w:ascii="Times New Roman" w:hAnsi="Times New Roman" w:cs="Times New Roman"/>
          <w:sz w:val="28"/>
          <w:szCs w:val="28"/>
        </w:rPr>
        <w:t xml:space="preserve">метод получения первичной социологической информации путем письменных ответов респондентов на предложенную систему вопросов анкеты.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Бережливое управление – интегрированная система управления, которая базируется на повышении эффективности процессов через снижение всех видов потерь.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Бережливый проект – проект, ориентированный на оптимизацию деятельности в виде сокращения длительности протекания процесса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разработанный в результате проведения картирования.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Внешний клиент  –  физическое или юридическое лицо, взаимодействующее самостоятельно или через уполномоченного представителя с органом власти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или подведомственной ему организацией с целью удовлетворения своих потребностей.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Внутренний клиент – государственный или муниципальный служащий, работник подведомственной исполнительному, государственному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или муниципальному органу организации, а также работники иных организаций, уполномоченные в соответствии с законодательством или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 основании договора на взаимодействие с внешними клиентами от лица органов власти, государственных или муниципальных организаций.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Внутриведомственный процесс – последовательность операций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процедур, выполняемых одним ведомством самостоятельно, в рамках своей компетенции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полномочий.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Robo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Гемба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реальное физическое пространство или рабочее место,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где происходят процессы, создаются ценности для клиента и принимаются решения.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Гипотеза – предположение, выдвигаемое на основании предварительных наблюдений и имеющейся информации, которое требует дальнейшего изучения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проверки.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Глубинное интервью – метод качественного исследования, предполагающий проведение индивидуальных бесед с респондентами, позволяющих раскрыть субъективные ощущения, мотивы поведения и скрытые причины выбора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тех или иных действий при взаимодействии с органами власти или организациями.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yellow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Диагностика корпоративной культуры </w:t>
      </w:r>
      <w:r>
        <w:rPr>
          <w:rFonts w:ascii="Times New Roman" w:hAnsi="Times New Roman" w:cs="Times New Roman"/>
          <w:sz w:val="28"/>
          <w:szCs w:val="28"/>
        </w:rPr>
        <w:t xml:space="preserve">– анализ организационных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коммуникационных барьеров между руководителем и сотрудниками органа власти или организации с целью определения общих направлений для изменений, расстановки приоритетов, оптимизации организационной структуры </w:t>
      </w:r>
      <w:r>
        <w:rPr>
          <w:rFonts w:ascii="Times New Roman" w:hAnsi="Times New Roman" w:cs="Times New Roman"/>
          <w:sz w:val="28"/>
          <w:szCs w:val="28"/>
        </w:rPr>
        <w:br/>
        <w:t xml:space="preserve">и формирования ключевых направлений развития.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Доска визуализации – доска, на которой представлены миссия, стратегические цели, показатели эффективности деятельности органа власти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или организации.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Доска задач – </w:t>
      </w:r>
      <w:r>
        <w:rPr>
          <w:rFonts w:ascii="Times New Roman" w:hAnsi="Times New Roman" w:cs="Times New Roman"/>
          <w:sz w:val="28"/>
          <w:szCs w:val="28"/>
        </w:rPr>
        <w:t xml:space="preserve">инструмент визуализации процесса исполнения задач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в рамках структурного подразделения органа власти или организации, позволяющий корректировать загрузку специалистов, выявлять проблемные зоны в работе структурного подразделения и своевременно принимать корректирующие решения.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Жизненная ситуация – комплекс услуг, функций и сервисов, в том числе цифровых, предоставляемых органами власти и организациями человеку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в определенных обстоятельствах, необходимых для удовлетворения возникающих в этих обстоятельствах потребностей.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Инсайт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осознание несоответствия собственных представлений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 чем-либо реальной ситуации или новый взгляд на ситуацию, которые возникают у исследователя после погружения в тематику, внимательного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анализа собранных данных и интерпретации практического опыта, полученного в ходе проведения исследований.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Инструмент организации рабочего пространства (5С) – система управления рабочими пространством и процессами, направленная на повышение эффективности труда и снижение потерь ресурсов путем систематической оптимизации рабочей среды.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Инструменты бережливого управления – средства (способы) решения поставленной задачи по усовершенствованию деятельности органов власти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или организаций посредством снижения потерь.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Инструменты генерации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идей/проектных решений –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методики и подходы, используемые для стимулирования творческого мышления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отбора перспективных предложений по улучшению процессов.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Инструменты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– набор методов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технологий, направленных на удовлетворение потребностей и ожиданий граждан посредством повышения качества государственных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 муниципальных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услуг, оптимизации административных процессов и укрепления обратной связи между гражданами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органами власти.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Инструменты поиска первопричин проблем – специальные методики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подходы, используемые для выявления глубинных факторов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возникновения  трудностей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(недостатков, несоответствий) или нежелательных ситуаций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процессах или системах органов власти и организаций, помогающие определить коренные причины проблем, что способствует эффективному устранению источников неполадок и предотвращению повторений аналогичных ситуаций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будущем.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Инструменты ранжирования проблем – методы и техники анализа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оценки приоритетности различн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ых трудностей (недостатков, несоответствий), возникающих в работе органа власти или организации, позволяющие структурированно оценить важность каждой проблемы исходя из критериев влияния на цели, масштаб последствий, сложности устранения и затрат ресурсов.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Интервьюирование – направленная беседа, целью которой является получение ответов на вопросы, предусмотренные бланком интервью.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Инфоцентр</w:t>
      </w:r>
      <w:r>
        <w:rPr>
          <w:rFonts w:ascii="Times New Roman" w:hAnsi="Times New Roman" w:cs="Times New Roman"/>
          <w:sz w:val="28"/>
          <w:szCs w:val="28"/>
        </w:rPr>
        <w:t xml:space="preserve"> – </w:t>
      </w:r>
      <w:r>
        <w:rPr>
          <w:rFonts w:ascii="Times New Roman" w:hAnsi="Times New Roman" w:cs="Times New Roman"/>
          <w:sz w:val="28"/>
          <w:szCs w:val="28"/>
        </w:rPr>
        <w:t xml:space="preserve">структурированное информационно-коммуникационное пространство, организованное для сбора, обработки, хранения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распространения актуальной информации посредством визуализации отклонений от ключевых показателей деятельности и целевого состояния процессов, выявления проблем и устранения потерь через принятие эффективных управленческих решений и визуальный контроль.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Кабинетные исследования – аналитическая деятельность, осуществляемая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основе вторичных источников информации (документы, отчёты, публикации, базы данных, официальные статистические материалы, научные труды, отраслевые обзоры и др.).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Карта пути клиента (карта клиентского пути) – логически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структурированное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описание последовательности шагов, которые осуществляет клиент, взаимодействуя с государством в рамках получения услуг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осуществления функций, а также различных аспектов поведения, ощущений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представлений клиента в табличной, графической или смешанной форме.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Карта системы – инструмент визуализации и анализа взаимосвязей между элементами жизненной ситуации или процесса, включающими клиентов, участников, заинтересованных сторон, описание задач, используемых ресурсов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факторов влияния.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Карта текущего состояния процесса – графическое представление последовательности операций, позволяющее увидеть проблемы в процессе,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их первопричины, а также разработать предложения по улучшению процесса.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Карта целевого состояния процесса – графическое представление последовательности операций, позволяющее увидеть, каким будет процесс после внедрения разработанных улучшений, которые могут быть применены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сроки реализации мероприятий по повышению эффективности процесса при наличии необходимых ресурсов.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Картирование процесса – построение </w:t>
      </w:r>
      <w:r>
        <w:rPr>
          <w:rFonts w:ascii="Times New Roman" w:hAnsi="Times New Roman" w:cs="Times New Roman" w:eastAsia="LiberationSerif"/>
          <w:sz w:val="28"/>
          <w:szCs w:val="28"/>
        </w:rPr>
        <w:t xml:space="preserve">схемы (алгоритма), отображающей каждый этап движения материальных и информационных потоков с целью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выявления возможностей усовершенствования текущего процесса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его приближения к оптимальному состоянию.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Карточка проекта – формализованный документ, содержащий комплексную характеристику оптимизир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уемого процесса, включая аналитическое обоснование целесообразности оптимизации, определение границ изучаемого процесса, список участников проектной группы, целевые показатели эффективности, календарный план этапов разработки и внедрения проектных решений.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физические и юридические лица, взаимодействующие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с государством с целью удовлетворения своих потребностей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или взаимодействующие с государством и уполномоченными организациями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при осуществлении функций органов власти.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Клиентоцентричность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– концепция государственного управления, ориентированная на постоянное совершенствование процессов удовлетворения потребностей клиента на основе непрерывного изучения клиентского опыта.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Клиентоцентричный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 – способ осуществления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деятельности,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основе которого лежит изучение клиентского опыта с целью выявления потребностей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их удовлетворения, осуществляемый с привлечением клиента.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Клиентоцентричный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проект – проект, ориентированный на создание ценности для клиентов посредством всестороннего анализа их запросов, пожеланий и проблем с целью разработки продукта или услуги, максимально удовлетворяющих потребности целевой аудитории.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Клиентский опыт –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результат взаимодействия клиента с органами власти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организациями на протяжении всей истории отношений.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Клиентский путь – последовательность действий клиента, которые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он осуществляет от момента возникновения потребностей до момента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их удовлетворения, в том числе при получении услуг и сервисов органов власти </w:t>
      </w:r>
      <w:r>
        <w:rPr>
          <w:rFonts w:ascii="Times New Roman" w:hAnsi="Times New Roman" w:cs="Times New Roman" w:eastAsia="Times New Roman"/>
          <w:sz w:val="28"/>
          <w:szCs w:val="28"/>
        </w:rPr>
        <w:br/>
        <w:t xml:space="preserve">и организаций.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Команда лидеров – ответственные руководители (исполнители), обеспечивающие применение технологий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Команда по изменениям – группа лиц, объединенных для выполнения конкретной задачи по совершенствованию деятельности органа власти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или организации.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Корпоративная рефлексия – мероприятие, организованное с целью ознакомления сотрудников органов власти или организаций с результатами диагностики корпоративной культуры.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Корпоративное обучение – целенаправленный процесс развития профессиональных компетенций сотрудников, организованный с целью повышения производительности труда, мотивации персонала и общего успеха органа власти или организации.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Куратор – руководитель команды лидеров, ответственный за внедрение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органе власти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или организации.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Межведомственный процесс – согласованный порядок действий нескольких органов власти и/или организаций, объединенных общими целями и задачами, направленных на решение вопросов, выходящих за рамки полномочий одного ведомства.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Меморандум – письменное соглашение между руководителем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сотрудниками органа власти или организации, в котором закрепляются добровольные взаимные обязательства сторон, направленные на повышение эффективности деятельности.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Метод наблюдения – качественный исследовательский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трумент, используемый для сбора объективных данных о поведенческих реакциях, эмоциях, возникающих сложностях, особенностях взаимодействия клиентов    с органами власти и/или организациями непосредственно в реальных условиях определенной жизненной ситуации.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Метод проживания собственного опыта – исследовате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льская практика, заключающаяся в прямом участии исследователя в роли клиента или пользователя услуг, функций, сервисов органа власти или организации с целью глубокого понимания и оценки реального клиентского пути в условиях определённой жизненной ситуации.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Миссия – кр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аткое изложение основных целей и назначения органа власти или организации, выражающее их уникальное значение и роль в обществе, определяющее стратегическое направление деятельности и служащее ориентиром для принятия решений и оценки эффективности действий.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Образец технологий – это орган власти, учреждение или организация, успешно внедривший инструменты бережливого 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и достигший значительных улучшений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повышения эффективности, сокращения издержек                               и совершенствования качества исполнения функций, предоставляемых услуг или сервисов путем реализации проектов по оптимизации собственной деятельности.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бизнес-процесса – инструмент формализации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документирования последовательности действий, операций и взаимодействий в рамках процесса, необходимых для достижения конкретных целей. 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Потеря – любое действие, при осуществлении которого потребляются ресурсы, но не создаются ценности для клиента.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Прототипирование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процесс создания упрощённых моделей продукта, сервиса или технологии с целью тестирования концепции, проверки работоспособности идеи и получения обратной связи от пользователей перед реализацией финального варианта.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Процесс – последовательность действий, которые необходимо совершить для достижения заранее определенных результатов, представляющих ценность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для клиентов.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Реестр процессов – систематизированный перечень всех процессов органа власти или организации, включающий их классификацию, описание основных характеристик, взаимосвязей и требований к управлению, используемый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для анализа, контроля и улучшения операционной деятельности.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Режим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бесшовности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организация совместной деятельности различных государственных и исполнительных органов таким образом, чтобы процессы взаимодействия между ними были непрерывными, взаимосвязанными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направленными на создание единой цепочки предоставления услуг клиенту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без видимых разрывов и задержек.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Сбор обратной связи – процес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систематического получения мнений, предложений и замечаний пользователей или клиентов относительно функций, услуг, сервисов органа власти или организации с целью улучшения качества предоставляемых товаров и услуг, повышения удовлетворенности потребителей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оптимизации процессов.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gree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Сегментация – процесс разделения целевой аудитории на сегменты (группы) на основании сходства по одному или нескольким признакам.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Сервис – способ организации процессов при взаимодействии клиента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с услугами и функциями, направленный на улучшение опыта взаимодействия клиента с органами власти и организациями.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Совещание в формате ежедневных 15-минутных встреч у доски задач </w:t>
      </w:r>
      <w:r>
        <w:rPr>
          <w:rFonts w:ascii="Times New Roman" w:hAnsi="Times New Roman" w:cs="Times New Roman"/>
          <w:sz w:val="28"/>
          <w:szCs w:val="28"/>
        </w:rPr>
        <w:t xml:space="preserve">– короткое совещание, которое проводится в одно и то же время с целью обсуждения статуса задач, выявления проблем и выработки направлений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их решения.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 (стандартизированная операционная процедура (СОП) – детально разработанная инструкция, определяющая последовательность шагов и правила выполнения конкретной операции или процесса с целью достижения стабильного и качественного результата.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дартизация процессов – методология унификации и регламентации последовательностей действий, направленных на достижение оптимального результата при минимизации отклонений, затрат и рисков путём разработки единых стандартов исполнения конкретных видов работ.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Стратегическая сессия – </w:t>
      </w:r>
      <w:r>
        <w:rPr>
          <w:rFonts w:ascii="Times New Roman" w:hAnsi="Times New Roman" w:cs="Times New Roman"/>
          <w:sz w:val="28"/>
          <w:szCs w:val="28"/>
        </w:rPr>
        <w:t xml:space="preserve">особая форма командной работы, которая направлена на составление стратегических планов развития.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Точка взаимодействия – канал общения, посредством которого клиент вступает в контакт с органами власти или организациями в рамках определенного процесса или конкретной жизненной ситуации.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Тренинг – активный метод обучения, направленный на приобретение практических навыков и развитие компетенций участников через интерактивные упражнения, групповую работу и обратную связь.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Управленческая технология, основанная на принципах и ценностях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подхода, – комплекс методов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инструментов, направленных на повышение эффективности процессов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максимальное удовлетворение потребностей клиентов.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Услуга – деятельность по реализации установленных функций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органа  власти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или организации, осуществляемая по запросам заявителей.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Фабрика процессов – формат практического обучения, представляющий собой учебную площадку, воспроизводящую определенный управляемый учебный процесс, в котором обучающиеся осваивают и отрабатывают умения, навыки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компетенции бережливого управления.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Фокус-группа – фокусированное групповое интервью, направленное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на выявление у респондентов субъективного восприятия определенных предметов или явлений реальности в ходе дискуссии.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Функция – деятельность по реализации установленных полномочий органа власти, осуществляемая без запроса заявителя.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Хронометраж – метод измерения временных затрат на выполнение отдельных операций или этапов рабочего процесса, используемый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для объективного анализа и последующего совершенствования рабочих процедур путем выявления неэффективных действий, перераспределения ресурсов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оптимизации труда сотрудников.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Ценность – значимость, присущая результатам деятельности исполнительных, государственных органов и организаций с точки зрения клиента.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Центр компетенций – специализированная структура, созданная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для систематического развития профессиональных навыков и знаний сотрудников подведомственных исполнительным и государственным органам учреждений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 организаций в сфере применения методов и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Цифровой сервис – программное средство для предоставления услуг, осуществления функций в электронном виде с применением информационных систем.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3. Понятия, ценности и принципы бережливого управления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подхода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3.1. Трансформация подхода к исполнению государственных функций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предоставлению государственных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или муниципальных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услуг предусматривает: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продвижение и развитие культуры уважения к человеку, его мнению, особенностям и потребностям;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повышение доверия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исполнительно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-распорядительны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 органам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также подведомственным им учреждениям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организациям;</w:t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повышение эффективности и качества решения задач человека;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повышение скорости и гибкости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реагирования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также подведомственных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организаций на актуальные вопросы и вызовы;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простое и удобное для человека вза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имодействие с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также подведомственными им учреждениями               и организациями;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повышение эффективности и привлекательности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службы.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3.2. Клиентом</w:t>
      </w:r>
      <w:r>
        <w:rPr>
          <w:rFonts w:ascii="Times New Roman" w:hAnsi="Times New Roman" w:cs="Times New Roman" w:eastAsia="Times New Roman"/>
          <w:sz w:val="2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области, а также подведомственных им учреждений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организаций является человек, который может взаимодействовать с ними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различных статусах:</w:t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как гражданин (а также иностранец или человек без гражданства);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как представитель бизнеса (коммерческой или некоммерческой организации), индивидуальный предприниматель или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самозанятый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как муниципальный служащий, представляющий публичную власть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отношениях с внешними клиентами (гражданами и бизнесом), а также участвующий в межведомственном взаимодействии.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3.3. В фокусе внимания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 им учреждений и организаций находится человек.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Муниципальные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функции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услуги, а также процедуры созданы ради решения задач людей и организованы ради их комфорта.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3.4. Ценности и принципы бережливого управления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взаимосвязаны и дополняют дру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 друга, образуя единую систему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применяются в совокупности.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3.5. Основными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ценностями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бережливого управления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являются: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признание человеческого ресурса как главного источника создания ценности;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своевременное выявление изменений требований клиента с целью улучшения качества процессов или услуг;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снижение потерь.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 Принципы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3.6.1. Стратегическая направленность и долгосрочная перспектива.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Реализация миссии, полити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ки и стратегии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распорядительных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                     и организаций основывается на признании важности человеческих ресурсов      и стремлении удовлетворить потребности клиентов.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Оценка эффективной деятельности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 области,          а также подведомственных им учреждений и организаций строится                     на показателях пользы и удобства для клиентов.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Применение инструментов бережливого управления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направлено на достижение долгосрочных результатов и устойчивое развитие управленческой системы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3.6.2. Непрерывное совершенствование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проактивность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ятельность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 им учреждений и организаций основывается на постоянном стремлении улучшать качество предоставления услуг и развивать организационные процессы, обеспечивая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их эффективность и соответствие требованиям клиентов.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целью выявления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актуальных потребностей и своевременного реагирования на запросы граждан, бизнеса и служащих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также подведомственных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учреждениях и организациях на регулярной основе проводятся аудиты межведомственных и внутриведомственных процессов         с применением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с последующим устранением потерь, отказом от барьеров                      и избыточных процессов.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Исполнительно-распорядительные 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рганы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 области, а также подведомственные им учреждения и организации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проактивно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выявляют жизненные ситуации              и процессы, требующие решений, работают над внедрением улучшений,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инноваций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устранением ошибок, предупреждая запросы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амечания.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3.6.3. Ориентация на создание ценности для клиента.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Основным требованием к организации деятельности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 области, а также подведомственных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й                     и организаций является оценка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их действий и решений с позиции конечной пользы для клиента (гражданина, бизнеса, коллеги-служащего).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Функции, услуги и сервисы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 области, а также подведомственных им учреждений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организаций  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процессе создания ценности адаптируются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под конкретные потребности, нужды и пожелания клиентов.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3.6.4. Принятие решений, основанных на фактах.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Выявление проблем и принятие решений по их устранению осуществляется непосредственно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гембе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то есть на фактическом месте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их возникновения.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Результаты исследований и объективные данные являются основой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для принятия решений и их обоснования. Исполнители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функций и услуг принимают беспристрастные решения, свободные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субъективности 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предвзятости.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целях принятия объективных решений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 области, а также подведомственные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учреждения                       и организации на регулярной основе осуществляют сбор обратной связи            от клиентов.</w:t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3.6.5. Открытость, взаимное доверие и безопасность.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подведомственные им учреждения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организации взаимодействуют с человеком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открытом диалоге, учитывают обратную связь и понимают потребности человека.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также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подведомственные им учреждения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организации гарантируют безопасное взаимодействие                   с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муниципальными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функциями и услугами, а также цифровыми сервисами без риска для здоровья, имущества, персональных данных и иной конфиденциальной информации.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целях формирования доверительных отношений между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также подведомственными им учреждениями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организациями и кли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ентами создае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тся прозрачная среда общения, открытая для конструктивной критики и обсуждения идей.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Коммуникации выстраиваются в формате уважительного и доступного диалога и направлены на сотрудничество с гражданами и бизнесом на равных условиях.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Информация клиентам предоставляется в простой и понятной форме, принятые решения публикуются в открытых источниках.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3.6.6. Организация потока создания ценности для клиента.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Повышение эффективности работы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         а также подведомственных им учреждений и организаций достигается через согласование действий разных ведомств и организацию процессов в единый поток создания ценности для клиента в режиме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бесшовности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Межведомственное сотрудничество направлено на достижение общей цели удовлетворения потребностей клиентов, создавая целостный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интегрированный процесс оказания государственной услуги или исполнения функций путем устранения барьеров и несогласованности между ведомствами.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Исполнительно-распорядительные органы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объединяют усилия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обеспечивают целостный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предсказуемый опыт взаимодействия клиентов     с государством через выбранный человеком канал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3.6.7.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Простота и удобство.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Оптимизация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также подведомственными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им учреждениями и организациями функций, услуг            и сервисов осуществляется с позиции простоты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удобства для клиентов           и предполагает активное использование современных цифровых технологий для автоматизации процессов, повышения доступности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удобства взаимодействия.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3.6.8. Вытягивание.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Выстраивание процесса осуществляется посредством вытягивания,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при котором требования клиента выполняются своевременно, качественно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в надлежащем объеме, исходя из его реальных потребностей.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3.6.9.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Встроенное  качество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(принцип «нулевых дефектов»).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целях предотвращения и исключения ошибок перед предоставлением результата клиенту на каждом этапе исполнения функции, оказания услуги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или сервиса в деятельность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ласти, а также подведомственных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и организаций внедряются процедуры контроля.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3.6.10. Стандартизация рабочих процессов.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также по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дведомственными им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учреждениями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организациями регулярно осуществляется формализация        и стандартизация лучшего опыта исполнения функций, оказания услуг               и сервисов.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Строгое соблюдение положений стандартов, регламентов, инструкций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других регулирующих выполнение процесса документов является необходимым условием функционирования и непрерывного совершенствования процессов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дской области, а также подведомственных им учреждений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4. Организационная структура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4.1. Уполномоченный орган: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взаимодействует с федеральными органами исполнительной власти, органами государственной власти субъектов Российской Федерации, государственными и иными организациями по вопросам внедрения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обеспечивает системное развитие методологии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обеспечивает проведение обучающих семинаров, практических конференций, круглых столов в области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(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осуществляет мониторинг внедрения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деятельность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также подведомственных им учреждений                      и организаций.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4.2. В целях внедрения инструментов бережливого управления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области, а также подведомственных им учреждениях и организациях соответствующим распорядительным актом назначается куратор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утверждается команда лидеров.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4.2.1. Куратор: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оказывает всестороннее содействие внедрению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возглавляет команду лидеров соответствующего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подведомственного учреждения или организации           и координирует их деятельность по вопросам внедрения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оценивает эффективность и результативность деятельности команды лидеров;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вносит предложения о выделении необходимых ресурсов для внедрения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Куратором, ответственным за внедрение бережливого управления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подхода, назначается: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 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– должностное лицо из числа заместителей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главы администрации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 управлениях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области – начальник управления;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 подведомственных учреждениях и организациях – руководитель учреждения или организации.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4.2.2. Команда лидеров: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осуществляет взаимодействие с куратором по вопросам внедрения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подхода, а также организационно-техническое сопровождение внедрения инструментов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обеспечивает поддержку коммуникаций и формирование команд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по изменениям.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Состав команды лидеров включает: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– заместителей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главы администрации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руководителей структурных подразделений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 подведомственных учреждениях и организациях – заместителей руководителей и руководителей учреждений или организаций.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4.2.3. Для решения конкретных задач по совершенствованию деятельности распорядительным актом соответствующего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подведомственного учреждения или организации временно создается команда по изменениям, которая может включать в себя сотрудников одного или нескольких ведомств, учреждений и организаций.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4.2.4. В качестве ресурса по формированию актуальных компетенций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у сотрудников подведомственных учреждений и организаций решением руководителя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 могут создаваться центры компетенций в области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(далее – Центры компетенций). 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Целью создания Центра компетенций является распространение опыта применения бережливых технологий и </w:t>
      </w:r>
      <w:r>
        <w:rPr>
          <w:sz w:val="28"/>
          <w:szCs w:val="28"/>
        </w:rPr>
        <w:t xml:space="preserve">клиентоцентричного</w:t>
      </w:r>
      <w:r>
        <w:rPr>
          <w:sz w:val="28"/>
          <w:szCs w:val="28"/>
        </w:rPr>
        <w:t xml:space="preserve"> подхода, способствующих повышению уровня профессиональной компетентности специалистов.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Центр компетенций может быть создан на базе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 </w:t>
      </w:r>
      <w:r>
        <w:rPr>
          <w:sz w:val="28"/>
          <w:szCs w:val="28"/>
        </w:rPr>
        <w:t xml:space="preserve">Новооскольского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Белгородской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организации</w:t>
      </w:r>
      <w:r>
        <w:rPr>
          <w:sz w:val="28"/>
          <w:szCs w:val="28"/>
        </w:rPr>
        <w:t xml:space="preserve"> или сформирован из числа сотрудников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Новооскольского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Белгородской области.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Центр компетенций не имеет в качестве основной цели своей деятельности извлечение прибыли.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Функционал Центра компетенций включает: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- обеспечение методического сопровождения внедрения методов </w:t>
      </w:r>
      <w:r>
        <w:rPr>
          <w:sz w:val="28"/>
          <w:szCs w:val="28"/>
        </w:rPr>
        <w:br/>
        <w:t xml:space="preserve">и инструментов бережливого управления и </w:t>
      </w:r>
      <w:r>
        <w:rPr>
          <w:sz w:val="28"/>
          <w:szCs w:val="28"/>
        </w:rPr>
        <w:t xml:space="preserve">клиентоцентричного</w:t>
      </w:r>
      <w:r>
        <w:rPr>
          <w:sz w:val="28"/>
          <w:szCs w:val="28"/>
        </w:rPr>
        <w:t xml:space="preserve"> подхода;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- обеспечение методической поддержки в инициации и реализации проектов по оптимизации процессов и жизненных ситуаций;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- тиражирование лучших практик внедрения методов и инструментов бережливого управления и </w:t>
      </w:r>
      <w:r>
        <w:rPr>
          <w:sz w:val="28"/>
          <w:szCs w:val="28"/>
        </w:rPr>
        <w:t xml:space="preserve">клиентоцентричного</w:t>
      </w:r>
      <w:r>
        <w:rPr>
          <w:sz w:val="28"/>
          <w:szCs w:val="28"/>
        </w:rPr>
        <w:t xml:space="preserve"> подхода;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- создание образцов технологий;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</w:rPr>
      </w:pPr>
      <w:r>
        <w:rPr>
          <w:sz w:val="28"/>
          <w:szCs w:val="28"/>
        </w:rPr>
        <w:t xml:space="preserve">- разработку фабрик процессов;</w:t>
      </w:r>
      <w:r/>
    </w:p>
    <w:p>
      <w:pPr>
        <w:pStyle w:val="848"/>
        <w:ind w:firstLine="709"/>
        <w:jc w:val="both"/>
        <w:spacing w:after="0" w:afterAutospacing="0" w:beforeAutospacing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 управление и мониторинг внедрения бережливого управления </w:t>
      </w:r>
      <w:r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 xml:space="preserve">клиентоцентричного</w:t>
      </w:r>
      <w:r>
        <w:rPr>
          <w:sz w:val="28"/>
          <w:szCs w:val="28"/>
        </w:rPr>
        <w:t xml:space="preserve"> подхода в деятельность учреждений и организаций соответствующей отрасли.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5. Порядок внедрения бережливого управления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подхода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5.1. Внедрение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в деятельность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области, а также подведомственных им учреждений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организаций осуществляется в несколько этапов: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анализ текущей ситуации в формате проведения диагностики корпоративной культуры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учреждений и организаций;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разработка нормативных правовых и методических документов;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регулярное обучение сотрудников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        а также подведомственных им учреждений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организаций основам                      и инструментам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внедрение инструментов и методов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деятельность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                     и организаций;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инициация и реализация бережливых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проектов.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 Перед внедрением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деятельность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 области, а также подведомственных им учреждений и организаций проводится диагностика корпоративной культуры, представляющая собой анализ устоявшихся организационных и коммуникационных традиций.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5.2.1. Целью этапа является формирование понимания необходимости изменений в системе организации деятельности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                     и организаций в соответствии с принципами и ценностями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5.2.2. Диагностика корпоративной культуры включает в себя оценку текущего состояния процессов, уровня удовлетворенности внутренних клиентов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эффективности работы ведомства или организации.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5.2.3. Для проведения диагностики корпоративной культуры используются методы: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анкетирования;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интервьюирования;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фокус-групп.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5.2.4. Анкетирование проводится с целью выявления особенностей представления сотрудников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ласти, а также подведомственных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и организаций об эффективности их деятельности.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5.2.5. Интервьюирование проводится с целью изучения мышления, установок и базовых ценностей сотрудников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также подведомственных им учреждений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5.2.6. Фокус-группы проводятся с целью выявления у участников субъективного восприятия проблемных явлений в рамках осуществления своей профессиональной деятельности.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5.2.7. По итогам проведения анкетирования, интервьюирования и фокус-групп назначенным куратором, ответственным лицом готовится отчёт.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5.2.8. Диагностический этап корпоративной диагностики завершается: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 разработкой и подписанием меморандума;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 разработкой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утверждением  миссии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 проведением сессии по корпоративной рефлексии.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5.2.9. На сессиях по корпоративной рефлексии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руководитель  знакомит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сотрудников с результатами диа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гностики корпоративной культуры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положениями меморандума, формулировкой миссии.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5.2.10. По завершении проведения диагностики корпоративной культуры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br/>
        <w:t xml:space="preserve">во всех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органах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Белгородской области, а также подведомственных им учреждениях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и организациях уполномоченным органом разрабатывается            и утверждается распоряжением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администрации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Белгородской области миссия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администрации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муниципального округа 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5.2.11. Диагностика корпоративной культуры проводится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 периодичностью, определенной руководителем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исполнительно-распорядительного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органа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подведомственного учреждения или организации,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но не реже одного раза в три года.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5.2.12. Основанием для проведения диагностики корпоративной культуры может являться: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обновление коллектива более чем на 30 процентов;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назначение нового руководителя ведомства или организации.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5.3. По мере развития системы бережливого управления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подхода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уполномоченный орган формирует нормативную правовую и методологическую базу.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5.3.1. Целью этапа является создание нормативных правовых актов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методологических материалов, обеспечивающих поддержку процесса внедрения управленческой технологии, основанной на принципах и ценностях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5.3.2. В структуру нормативной правовой и методологической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базы  входят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постановления, распоряжения, приказы, регламентирующие внедрение новых подходов;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методические рекомендации по использованию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конкретных  инструментов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 методов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5.4. При внедрении технологий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уполномоченный орган регулярно проводит корпоративное обучение сотрудников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области,         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также подведомственных им учреждений и организаций, с учётом разработанной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утвержд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нной на региональном уровне нормативно - правовой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методологической базы.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5.4.1. Целью этапа является повышение осведомленности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компетентности сотрудников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 области,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учреждений и организаций всех уровней в области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5.4.2. Корпоративное обучение проводится на регулярной основе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при внедрении в деятельность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области, а также подведомственных им учреждений и организаций новых методов                        и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5.4.3. Корпоративное обучение проводится в форматах: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тренинга, семинара, стратегической сессии, фабрики процессов;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индивидуальной консультации;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практического обучения на рабочем месте.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5.4.4. К проведению обучения сотрудников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 им учреждений                      и организаций могут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привлекаться  внешние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консультанты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для повышения качества образовательных мероприятий.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5.4.5. При проведении обучающих семинаров сотрудников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городской области, а также подведомственных им учреждений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организаций собирается обратная связь и осуществляется методическое сопровождение.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5.5. Организация деятельности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и организаций, основанной на принципах   и ценностях бережливого управления и стандартах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предполагает: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внедрение и применение на постоянной основе определенного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набора  методов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 инструментов;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проведение оптимизации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жизненных ситуаций,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межведомственных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внутриведомственных процессов в рамках разработки и реализации бережливых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проектов.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5.5.1. Целью этапа является применение инструментов и методов управленческой технологии, основанной на принципах и ценностях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подхода, и обеспечение устойчивого эффекта от их внедрения.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5.5.2. Набор методов и инструментов, определенных к внедрению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в деятельность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 им учреждений и организаций, включает: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доску визуализации;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инструмент организации рабочего пространства (5</w:t>
      </w:r>
      <w:r>
        <w:rPr>
          <w:rFonts w:ascii="Times New Roman" w:hAnsi="Times New Roman" w:cs="Times New Roman" w:eastAsia="Times New Roman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доску задач (совещания в формате ежедневных 15-минутных встреч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у доски задач);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инфоцентр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реестр процессов;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картирование;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описание бизнес-процесса;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стандартизацию;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сбор обратной связи.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5.5.3. Основанием для открытия проектов по оптимизации процессов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жизненных ситуаций являются: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достижение  целевых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показателей стратегии развития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eastAsia="ru-RU"/>
        </w:rPr>
        <w:t xml:space="preserve">Белгородской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достижение ключевых показателей эффективности высшего должностного лица;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деятельность в рамках реализации федеральных проектов «Государство для людей», «Производительность труда», внедрения целевых моделей Национальной социальной инициативы;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поручения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главы администрации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области, заместителей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главы администрации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руководителей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структурных подразделений администрации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Белгородской области,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руководителей подведомственных учреждений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результаты сбора обратной связи от сотрудников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                     и организаций;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результаты анализа тематики негативных обращений граждан Центра управления регионом;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необходимость развития реализованных проектов;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возможность тиражирования ранее реализованных проектов или лучших практик.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5.5.4. Оптимизация жизненных ситуаций, межведомственных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внутриведомственных процессов осуществляется в несколько этапов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с применением установленного конкретизированного перечня методов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инструментов на каждом из них: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первичный анализ ситуации «как есть» (карточка проекта, хронометраж,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гемба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карта системы, точки взаимодействия, гипотеза);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сбор информации (глубинные интервью, собственный опыт, наблюдение, кабинетные исследования,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инсайт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описание текущей ситуации (сегментация клиентов, карта текущего состояния/описание бизнес-процесса «как есть», карта пути клиента);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анализ проблем и выбор решений (инструменты ранжирования проблем, инструменты поиска первопричин проблем, инструменты генерации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приоритизации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идей,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прототипирование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описание целевого состояния (карта целевого состояния/описание бизнес-процесса «как будет», план управления проектом («дорожная карта»);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реализация мероприятий плана управления проектом («дорожной карты»);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- стандартизация оптимизированного процесса посредством разработки, утверждения и/или актуализация стандартизированной операционной процедуры.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5.5.5. Бережливые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клиентоцентричные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проекты могут объединяться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в портфели проектов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 области или организации.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6. Организационное сопровождение, администрирование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br/>
        <w:t xml:space="preserve">и мониторинг внедрения инструментов бережливого управления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подхода 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</w:rPr>
      </w:pPr>
      <w:r/>
      <w:bookmarkStart w:id="0" w:name="_GoBack"/>
      <w:r/>
      <w:bookmarkEnd w:id="0"/>
      <w:r/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6.1. Организационное сопровождение представляет собой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координацию  комплекса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мероприятий по внедрению инструментов бережливого управления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деятельность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учреждений                      и организаций.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Организационное сопровождение начинается с момента создания организационной структуры по внедрению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области,           а также подведомственных им учреждениях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организациях.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6.2. Администрирование внедрения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          а также подведомственных им учреждениях и организациях представляет собой контроль их применения в деятельности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 постоянной основе.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6.2.1. Администрирование внедрения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области, а также подведомственных им учреждениях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организациях осуществляется куратором.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6.2.2. Информация, полученная в процессе администрирования внедрения инструментов бережливого управления 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Белгородской области, а также подведомственных им учреждениях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организациях, представляется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уполномоченный орган.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6.3. Мониторинг внедрения инструментов бережливого управления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клиентоцентричного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подхода 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исполнительно-распорядительных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органах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Новооскольского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Белгородской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об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ласти, а также подведомственных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им учреждениях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организациях представляет собой специально организованное систематическое наблюдение за ходом применения инструментов и регистрацию данных, которые осуществляют уполномоченный орган и кураторы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540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077"/>
        <w:gridCol w:w="5777"/>
      </w:tblGrid>
      <w:tr>
        <w:trPr/>
        <w:tc>
          <w:tcPr>
            <w:tcW w:w="407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tabs>
                <w:tab w:val="left" w:pos="173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  <w:tc>
          <w:tcPr>
            <w:tcW w:w="5777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/>
          </w:p>
        </w:tc>
      </w:tr>
    </w:tbl>
    <w:p>
      <w:pPr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624" w:bottom="1134" w:left="1701" w:header="709" w:footer="709" w:gutter="0"/>
      <w:pgNumType w:start="3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serif">
    <w:panose1 w:val="02000603000000000000"/>
  </w:font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eastAsia="Times New Roman"/>
      </w:rPr>
      <w:fldChar w:fldCharType="begin"/>
    </w:r>
    <w:r>
      <w:rPr>
        <w:rFonts w:ascii="Times New Roman" w:hAnsi="Times New Roman" w:cs="Times New Roman" w:eastAsia="Times New Roman"/>
      </w:rPr>
      <w:instrText xml:space="preserve">PAGE \* MERGEFORMAT</w:instrText>
    </w:r>
    <w:r>
      <w:rPr>
        <w:rFonts w:ascii="Times New Roman" w:hAnsi="Times New Roman" w:cs="Times New Roman" w:eastAsia="Times New Roman"/>
      </w:rPr>
      <w:fldChar w:fldCharType="separate"/>
    </w:r>
    <w:r>
      <w:rPr>
        <w:rFonts w:ascii="Times New Roman" w:hAnsi="Times New Roman" w:cs="Times New Roman" w:eastAsia="Times New Roman"/>
      </w:rPr>
      <w:t xml:space="preserve">21</w:t>
    </w:r>
    <w:r>
      <w:rPr>
        <w:rFonts w:ascii="Times New Roman" w:hAnsi="Times New Roman" w:cs="Times New Roman" w:eastAsia="Times New Roman"/>
      </w:rPr>
      <w:fldChar w:fldCharType="end"/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76"/>
    <w:link w:val="667"/>
    <w:uiPriority w:val="9"/>
    <w:rPr>
      <w:rFonts w:ascii="Arial" w:hAnsi="Arial" w:cs="Arial" w:eastAsia="Arial"/>
      <w:sz w:val="40"/>
      <w:szCs w:val="40"/>
    </w:rPr>
  </w:style>
  <w:style w:type="character" w:styleId="649">
    <w:name w:val="Heading 2 Char"/>
    <w:basedOn w:val="676"/>
    <w:link w:val="668"/>
    <w:uiPriority w:val="9"/>
    <w:rPr>
      <w:rFonts w:ascii="Arial" w:hAnsi="Arial" w:cs="Arial" w:eastAsia="Arial"/>
      <w:sz w:val="34"/>
    </w:rPr>
  </w:style>
  <w:style w:type="character" w:styleId="650">
    <w:name w:val="Heading 3 Char"/>
    <w:basedOn w:val="676"/>
    <w:link w:val="669"/>
    <w:uiPriority w:val="9"/>
    <w:rPr>
      <w:rFonts w:ascii="Arial" w:hAnsi="Arial" w:cs="Arial" w:eastAsia="Arial"/>
      <w:sz w:val="30"/>
      <w:szCs w:val="30"/>
    </w:rPr>
  </w:style>
  <w:style w:type="character" w:styleId="651">
    <w:name w:val="Heading 4 Char"/>
    <w:basedOn w:val="676"/>
    <w:link w:val="670"/>
    <w:uiPriority w:val="9"/>
    <w:rPr>
      <w:rFonts w:ascii="Arial" w:hAnsi="Arial" w:cs="Arial" w:eastAsia="Arial"/>
      <w:b/>
      <w:bCs/>
      <w:sz w:val="26"/>
      <w:szCs w:val="26"/>
    </w:rPr>
  </w:style>
  <w:style w:type="character" w:styleId="652">
    <w:name w:val="Heading 5 Char"/>
    <w:basedOn w:val="676"/>
    <w:link w:val="671"/>
    <w:uiPriority w:val="9"/>
    <w:rPr>
      <w:rFonts w:ascii="Arial" w:hAnsi="Arial" w:cs="Arial" w:eastAsia="Arial"/>
      <w:b/>
      <w:bCs/>
      <w:sz w:val="24"/>
      <w:szCs w:val="24"/>
    </w:rPr>
  </w:style>
  <w:style w:type="character" w:styleId="653">
    <w:name w:val="Heading 6 Char"/>
    <w:basedOn w:val="676"/>
    <w:link w:val="672"/>
    <w:uiPriority w:val="9"/>
    <w:rPr>
      <w:rFonts w:ascii="Arial" w:hAnsi="Arial" w:cs="Arial" w:eastAsia="Arial"/>
      <w:b/>
      <w:bCs/>
      <w:sz w:val="22"/>
      <w:szCs w:val="22"/>
    </w:rPr>
  </w:style>
  <w:style w:type="character" w:styleId="654">
    <w:name w:val="Heading 7 Char"/>
    <w:basedOn w:val="676"/>
    <w:link w:val="67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5">
    <w:name w:val="Heading 8 Char"/>
    <w:basedOn w:val="676"/>
    <w:link w:val="674"/>
    <w:uiPriority w:val="9"/>
    <w:rPr>
      <w:rFonts w:ascii="Arial" w:hAnsi="Arial" w:cs="Arial" w:eastAsia="Arial"/>
      <w:i/>
      <w:iCs/>
      <w:sz w:val="22"/>
      <w:szCs w:val="22"/>
    </w:rPr>
  </w:style>
  <w:style w:type="character" w:styleId="656">
    <w:name w:val="Heading 9 Char"/>
    <w:basedOn w:val="676"/>
    <w:link w:val="675"/>
    <w:uiPriority w:val="9"/>
    <w:rPr>
      <w:rFonts w:ascii="Arial" w:hAnsi="Arial" w:cs="Arial" w:eastAsia="Arial"/>
      <w:i/>
      <w:iCs/>
      <w:sz w:val="21"/>
      <w:szCs w:val="21"/>
    </w:rPr>
  </w:style>
  <w:style w:type="character" w:styleId="657">
    <w:name w:val="Title Char"/>
    <w:basedOn w:val="676"/>
    <w:link w:val="690"/>
    <w:uiPriority w:val="10"/>
    <w:rPr>
      <w:sz w:val="48"/>
      <w:szCs w:val="48"/>
    </w:rPr>
  </w:style>
  <w:style w:type="character" w:styleId="658">
    <w:name w:val="Subtitle Char"/>
    <w:basedOn w:val="676"/>
    <w:link w:val="692"/>
    <w:uiPriority w:val="11"/>
    <w:rPr>
      <w:sz w:val="24"/>
      <w:szCs w:val="24"/>
    </w:rPr>
  </w:style>
  <w:style w:type="character" w:styleId="659">
    <w:name w:val="Quote Char"/>
    <w:link w:val="694"/>
    <w:uiPriority w:val="29"/>
    <w:rPr>
      <w:i/>
    </w:rPr>
  </w:style>
  <w:style w:type="character" w:styleId="660">
    <w:name w:val="Intense Quote Char"/>
    <w:link w:val="696"/>
    <w:uiPriority w:val="30"/>
    <w:rPr>
      <w:i/>
    </w:rPr>
  </w:style>
  <w:style w:type="character" w:styleId="661">
    <w:name w:val="Header Char"/>
    <w:basedOn w:val="676"/>
    <w:link w:val="698"/>
    <w:uiPriority w:val="99"/>
  </w:style>
  <w:style w:type="character" w:styleId="662">
    <w:name w:val="Footer Char"/>
    <w:basedOn w:val="676"/>
    <w:link w:val="700"/>
    <w:uiPriority w:val="99"/>
  </w:style>
  <w:style w:type="character" w:styleId="663">
    <w:name w:val="Caption Char"/>
    <w:basedOn w:val="702"/>
    <w:link w:val="700"/>
    <w:uiPriority w:val="99"/>
  </w:style>
  <w:style w:type="character" w:styleId="664">
    <w:name w:val="Footnote Text Char"/>
    <w:link w:val="831"/>
    <w:uiPriority w:val="99"/>
    <w:rPr>
      <w:sz w:val="18"/>
    </w:rPr>
  </w:style>
  <w:style w:type="character" w:styleId="665">
    <w:name w:val="Endnote Text Char"/>
    <w:link w:val="834"/>
    <w:uiPriority w:val="99"/>
    <w:rPr>
      <w:sz w:val="20"/>
    </w:rPr>
  </w:style>
  <w:style w:type="paragraph" w:styleId="666" w:default="1">
    <w:name w:val="Normal"/>
    <w:qFormat/>
  </w:style>
  <w:style w:type="paragraph" w:styleId="667">
    <w:name w:val="Heading 1"/>
    <w:basedOn w:val="666"/>
    <w:next w:val="666"/>
    <w:link w:val="67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68">
    <w:name w:val="Heading 2"/>
    <w:basedOn w:val="666"/>
    <w:next w:val="666"/>
    <w:link w:val="68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69">
    <w:name w:val="Heading 3"/>
    <w:basedOn w:val="666"/>
    <w:next w:val="666"/>
    <w:link w:val="68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70">
    <w:name w:val="Heading 4"/>
    <w:basedOn w:val="666"/>
    <w:next w:val="666"/>
    <w:link w:val="68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71">
    <w:name w:val="Heading 5"/>
    <w:basedOn w:val="666"/>
    <w:next w:val="666"/>
    <w:link w:val="68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72">
    <w:name w:val="Heading 6"/>
    <w:basedOn w:val="666"/>
    <w:next w:val="666"/>
    <w:link w:val="68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673">
    <w:name w:val="Heading 7"/>
    <w:basedOn w:val="666"/>
    <w:next w:val="666"/>
    <w:link w:val="685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674">
    <w:name w:val="Heading 8"/>
    <w:basedOn w:val="666"/>
    <w:next w:val="666"/>
    <w:link w:val="686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675">
    <w:name w:val="Heading 9"/>
    <w:basedOn w:val="666"/>
    <w:next w:val="666"/>
    <w:link w:val="68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Заголовок 1 Знак"/>
    <w:basedOn w:val="676"/>
    <w:link w:val="667"/>
    <w:uiPriority w:val="9"/>
    <w:rPr>
      <w:rFonts w:ascii="Arial" w:hAnsi="Arial" w:cs="Arial" w:eastAsia="Arial"/>
      <w:sz w:val="40"/>
      <w:szCs w:val="40"/>
    </w:rPr>
  </w:style>
  <w:style w:type="character" w:styleId="680" w:customStyle="1">
    <w:name w:val="Заголовок 2 Знак"/>
    <w:basedOn w:val="676"/>
    <w:link w:val="668"/>
    <w:uiPriority w:val="9"/>
    <w:rPr>
      <w:rFonts w:ascii="Arial" w:hAnsi="Arial" w:cs="Arial" w:eastAsia="Arial"/>
      <w:sz w:val="34"/>
    </w:rPr>
  </w:style>
  <w:style w:type="character" w:styleId="681" w:customStyle="1">
    <w:name w:val="Заголовок 3 Знак"/>
    <w:basedOn w:val="676"/>
    <w:link w:val="669"/>
    <w:uiPriority w:val="9"/>
    <w:rPr>
      <w:rFonts w:ascii="Arial" w:hAnsi="Arial" w:cs="Arial" w:eastAsia="Arial"/>
      <w:sz w:val="30"/>
      <w:szCs w:val="30"/>
    </w:rPr>
  </w:style>
  <w:style w:type="character" w:styleId="682" w:customStyle="1">
    <w:name w:val="Заголовок 4 Знак"/>
    <w:basedOn w:val="676"/>
    <w:link w:val="670"/>
    <w:uiPriority w:val="9"/>
    <w:rPr>
      <w:rFonts w:ascii="Arial" w:hAnsi="Arial" w:cs="Arial" w:eastAsia="Arial"/>
      <w:b/>
      <w:bCs/>
      <w:sz w:val="26"/>
      <w:szCs w:val="26"/>
    </w:rPr>
  </w:style>
  <w:style w:type="character" w:styleId="683" w:customStyle="1">
    <w:name w:val="Заголовок 5 Знак"/>
    <w:basedOn w:val="676"/>
    <w:link w:val="671"/>
    <w:uiPriority w:val="9"/>
    <w:rPr>
      <w:rFonts w:ascii="Arial" w:hAnsi="Arial" w:cs="Arial" w:eastAsia="Arial"/>
      <w:b/>
      <w:bCs/>
      <w:sz w:val="24"/>
      <w:szCs w:val="24"/>
    </w:rPr>
  </w:style>
  <w:style w:type="character" w:styleId="684" w:customStyle="1">
    <w:name w:val="Заголовок 6 Знак"/>
    <w:basedOn w:val="676"/>
    <w:link w:val="672"/>
    <w:uiPriority w:val="9"/>
    <w:rPr>
      <w:rFonts w:ascii="Arial" w:hAnsi="Arial" w:cs="Arial" w:eastAsia="Arial"/>
      <w:b/>
      <w:bCs/>
      <w:sz w:val="22"/>
      <w:szCs w:val="22"/>
    </w:rPr>
  </w:style>
  <w:style w:type="character" w:styleId="685" w:customStyle="1">
    <w:name w:val="Заголовок 7 Знак"/>
    <w:basedOn w:val="676"/>
    <w:link w:val="67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6" w:customStyle="1">
    <w:name w:val="Заголовок 8 Знак"/>
    <w:basedOn w:val="676"/>
    <w:link w:val="674"/>
    <w:uiPriority w:val="9"/>
    <w:rPr>
      <w:rFonts w:ascii="Arial" w:hAnsi="Arial" w:cs="Arial" w:eastAsia="Arial"/>
      <w:i/>
      <w:iCs/>
      <w:sz w:val="22"/>
      <w:szCs w:val="22"/>
    </w:rPr>
  </w:style>
  <w:style w:type="character" w:styleId="687" w:customStyle="1">
    <w:name w:val="Заголовок 9 Знак"/>
    <w:basedOn w:val="676"/>
    <w:link w:val="675"/>
    <w:uiPriority w:val="9"/>
    <w:rPr>
      <w:rFonts w:ascii="Arial" w:hAnsi="Arial" w:cs="Arial" w:eastAsia="Arial"/>
      <w:i/>
      <w:iCs/>
      <w:sz w:val="21"/>
      <w:szCs w:val="21"/>
    </w:rPr>
  </w:style>
  <w:style w:type="paragraph" w:styleId="688">
    <w:name w:val="List Paragraph"/>
    <w:basedOn w:val="666"/>
    <w:qFormat/>
    <w:uiPriority w:val="34"/>
    <w:pPr>
      <w:contextualSpacing w:val="true"/>
      <w:ind w:left="720"/>
    </w:pPr>
  </w:style>
  <w:style w:type="paragraph" w:styleId="689">
    <w:name w:val="No Spacing"/>
    <w:qFormat/>
    <w:uiPriority w:val="1"/>
    <w:pPr>
      <w:spacing w:lineRule="auto" w:line="240" w:after="0"/>
    </w:pPr>
  </w:style>
  <w:style w:type="paragraph" w:styleId="690">
    <w:name w:val="Title"/>
    <w:basedOn w:val="666"/>
    <w:next w:val="666"/>
    <w:link w:val="691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691" w:customStyle="1">
    <w:name w:val="Название Знак"/>
    <w:basedOn w:val="676"/>
    <w:link w:val="690"/>
    <w:uiPriority w:val="10"/>
    <w:rPr>
      <w:sz w:val="48"/>
      <w:szCs w:val="48"/>
    </w:rPr>
  </w:style>
  <w:style w:type="paragraph" w:styleId="692">
    <w:name w:val="Subtitle"/>
    <w:basedOn w:val="666"/>
    <w:next w:val="666"/>
    <w:link w:val="693"/>
    <w:qFormat/>
    <w:uiPriority w:val="11"/>
    <w:rPr>
      <w:sz w:val="24"/>
      <w:szCs w:val="24"/>
    </w:rPr>
    <w:pPr>
      <w:spacing w:before="200"/>
    </w:pPr>
  </w:style>
  <w:style w:type="character" w:styleId="693" w:customStyle="1">
    <w:name w:val="Подзаголовок Знак"/>
    <w:basedOn w:val="676"/>
    <w:link w:val="692"/>
    <w:uiPriority w:val="11"/>
    <w:rPr>
      <w:sz w:val="24"/>
      <w:szCs w:val="24"/>
    </w:rPr>
  </w:style>
  <w:style w:type="paragraph" w:styleId="694">
    <w:name w:val="Quote"/>
    <w:basedOn w:val="666"/>
    <w:next w:val="666"/>
    <w:link w:val="695"/>
    <w:qFormat/>
    <w:uiPriority w:val="29"/>
    <w:rPr>
      <w:i/>
    </w:rPr>
    <w:pPr>
      <w:ind w:left="720" w:right="720"/>
    </w:pPr>
  </w:style>
  <w:style w:type="character" w:styleId="695" w:customStyle="1">
    <w:name w:val="Цитата 2 Знак"/>
    <w:link w:val="694"/>
    <w:uiPriority w:val="29"/>
    <w:rPr>
      <w:i/>
    </w:rPr>
  </w:style>
  <w:style w:type="paragraph" w:styleId="696">
    <w:name w:val="Intense Quote"/>
    <w:basedOn w:val="666"/>
    <w:next w:val="666"/>
    <w:link w:val="69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7" w:customStyle="1">
    <w:name w:val="Выделенная цитата Знак"/>
    <w:link w:val="696"/>
    <w:uiPriority w:val="30"/>
    <w:rPr>
      <w:i/>
    </w:rPr>
  </w:style>
  <w:style w:type="paragraph" w:styleId="698">
    <w:name w:val="Header"/>
    <w:basedOn w:val="666"/>
    <w:link w:val="69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 w:customStyle="1">
    <w:name w:val="Верхний колонтитул Знак"/>
    <w:basedOn w:val="676"/>
    <w:link w:val="698"/>
    <w:uiPriority w:val="99"/>
  </w:style>
  <w:style w:type="paragraph" w:styleId="700">
    <w:name w:val="Footer"/>
    <w:basedOn w:val="666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1" w:customStyle="1">
    <w:name w:val="Нижний колонтитул Знак"/>
    <w:basedOn w:val="676"/>
    <w:link w:val="700"/>
    <w:uiPriority w:val="99"/>
  </w:style>
  <w:style w:type="paragraph" w:styleId="702">
    <w:name w:val="Caption"/>
    <w:basedOn w:val="666"/>
    <w:next w:val="666"/>
    <w:link w:val="703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03" w:customStyle="1">
    <w:name w:val="Название объекта Знак"/>
    <w:basedOn w:val="676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basedOn w:val="67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05" w:customStyle="1">
    <w:name w:val="Table Grid Light"/>
    <w:basedOn w:val="67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06">
    <w:name w:val="Plain Table 1"/>
    <w:basedOn w:val="67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77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1">
    <w:name w:val="Grid Table 1 Light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2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2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3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3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4"/>
    <w:basedOn w:val="67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3" w:customStyle="1">
    <w:name w:val="Grid Table 4 - Accent 1"/>
    <w:basedOn w:val="67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34" w:customStyle="1">
    <w:name w:val="Grid Table 4 - Accent 2"/>
    <w:basedOn w:val="67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35" w:customStyle="1">
    <w:name w:val="Grid Table 4 - Accent 3"/>
    <w:basedOn w:val="67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36" w:customStyle="1">
    <w:name w:val="Grid Table 4 - Accent 4"/>
    <w:basedOn w:val="67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37" w:customStyle="1">
    <w:name w:val="Grid Table 4 - Accent 5"/>
    <w:basedOn w:val="67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38" w:customStyle="1">
    <w:name w:val="Grid Table 4 - Accent 6"/>
    <w:basedOn w:val="67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9">
    <w:name w:val="Grid Table 5 Dark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Fill="accent1" w:themeFillTint="34" w:themeColor="accent1" w:themeTint="34"/>
    </w:tblPr>
    <w:tblStylePr w:type="band1Horz">
      <w:tcPr>
        <w:shd w:val="clear" w:color="AEC4E0" w:fill="AEC4E0" w:themeFill="accent1" w:themeFillTint="75" w:themeColor="accent1" w:themeTint="75"/>
      </w:tcPr>
    </w:tblStylePr>
    <w:tblStylePr w:type="band1Vert">
      <w:tcPr>
        <w:shd w:val="clear" w:color="AEC4E0" w:fill="AEC4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Fill="accent2" w:themeFillTint="32" w:themeColor="accent2" w:themeTint="32"/>
    </w:tblPr>
    <w:tblStylePr w:type="band1Horz">
      <w:tcPr>
        <w:shd w:val="clear" w:color="E2AEAD" w:fill="E2AEAD" w:themeFill="accent2" w:themeFillTint="75" w:themeColor="accent2" w:themeTint="75"/>
      </w:tcPr>
    </w:tblStylePr>
    <w:tblStylePr w:type="band1Vert">
      <w:tcPr>
        <w:shd w:val="clear" w:color="E2AEAD" w:fill="E2AE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Fill="accent3" w:themeFillTint="34" w:themeColor="accent3" w:themeTint="34"/>
    </w:tblPr>
    <w:tblStylePr w:type="band1Horz">
      <w:tcPr>
        <w:shd w:val="clear" w:color="D0DFB2" w:fill="D0DFB2" w:themeFill="accent3" w:themeFillTint="75" w:themeColor="accent3" w:themeTint="75"/>
      </w:tcPr>
    </w:tblStylePr>
    <w:tblStylePr w:type="band1Vert">
      <w:tcPr>
        <w:shd w:val="clear" w:color="D0DFB2" w:fill="D0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Fill="accent4" w:themeFillTint="34" w:themeColor="accent4" w:themeTint="34"/>
    </w:tblPr>
    <w:tblStylePr w:type="band1Horz">
      <w:tcPr>
        <w:shd w:val="clear" w:color="C4B7D4" w:fill="C4B7D4" w:themeFill="accent4" w:themeFillTint="75" w:themeColor="accent4" w:themeTint="75"/>
      </w:tcPr>
    </w:tblStylePr>
    <w:tblStylePr w:type="band1Vert">
      <w:tcPr>
        <w:shd w:val="clear" w:color="C4B7D4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5 Dark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Fill="accent5" w:themeFillTint="34" w:themeColor="accent5" w:themeTint="34"/>
    </w:tblPr>
    <w:tblStylePr w:type="band1Horz">
      <w:tcPr>
        <w:shd w:val="clear" w:color="ACD8E4" w:fill="ACD8E4" w:themeFill="accent5" w:themeFillTint="75" w:themeColor="accent5" w:themeTint="75"/>
      </w:tcPr>
    </w:tblStylePr>
    <w:tblStylePr w:type="band1Vert">
      <w:tcPr>
        <w:shd w:val="clear" w:color="ACD8E4" w:fill="ACD8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top w:val="single" w:color="FFFFFF" w:sz="4" w:space="0" w:themeColor="light1"/>
        </w:tcBorders>
      </w:tcPr>
    </w:tblStylePr>
  </w:style>
  <w:style w:type="table" w:styleId="745" w:customStyle="1">
    <w:name w:val="Grid Table 5 Dark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Fill="accent6" w:themeFillTint="34" w:themeColor="accent6" w:themeTint="34"/>
    </w:tblPr>
    <w:tblStylePr w:type="band1Horz">
      <w:tcPr>
        <w:shd w:val="clear" w:color="FBCEAA" w:fill="FBCEAA" w:themeFill="accent6" w:themeFillTint="75" w:themeColor="accent6" w:themeTint="75"/>
      </w:tcPr>
    </w:tblStylePr>
    <w:tblStylePr w:type="band1Vert">
      <w:tcPr>
        <w:shd w:val="clear" w:color="FBCEAA" w:fill="FBCE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top w:val="single" w:color="FFFFFF" w:sz="4" w:space="0" w:themeColor="light1"/>
        </w:tcBorders>
      </w:tcPr>
    </w:tblStylePr>
  </w:style>
  <w:style w:type="table" w:styleId="746">
    <w:name w:val="Grid Table 6 Colorful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>
    <w:name w:val="Grid Table 7 Colorful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7 Colorful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7 Colorful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1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2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3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4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1 Light - Accent 5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List Table 1 Light - Accent 6"/>
    <w:basedOn w:val="67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68" w:customStyle="1">
    <w:name w:val="List Table 2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69" w:customStyle="1">
    <w:name w:val="List Table 2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70" w:customStyle="1">
    <w:name w:val="List Table 2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71" w:customStyle="1">
    <w:name w:val="List Table 2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72" w:customStyle="1">
    <w:name w:val="List Table 2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73" w:customStyle="1">
    <w:name w:val="List Table 2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74">
    <w:name w:val="List Table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Fill="accent1" w:themeColor="accent1"/>
    </w:tblPr>
    <w:tblStylePr w:type="band1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Fill="accent2" w:themeFillTint="97" w:themeColor="accent2" w:themeTint="97"/>
    </w:tblPr>
    <w:tblStylePr w:type="band1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Fill="accent3" w:themeFillTint="98" w:themeColor="accent3" w:themeTint="98"/>
    </w:tblPr>
    <w:tblStylePr w:type="band1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Fill="accent4" w:themeFillTint="9A" w:themeColor="accent4" w:themeTint="9A"/>
    </w:tblPr>
    <w:tblStylePr w:type="band1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Fill="accent5" w:themeFillTint="9A" w:themeColor="accent5" w:themeTint="9A"/>
    </w:tblPr>
    <w:tblStylePr w:type="band1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Fill="accent6" w:themeFillTint="98" w:themeColor="accent6" w:themeTint="98"/>
    </w:tblPr>
    <w:tblStylePr w:type="band1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>
    <w:name w:val="List Table 6 Colorful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96" w:customStyle="1">
    <w:name w:val="List Table 6 Colorful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97" w:customStyle="1">
    <w:name w:val="List Table 6 Colorful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98" w:customStyle="1">
    <w:name w:val="List Table 6 Colorful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99" w:customStyle="1">
    <w:name w:val="List Table 6 Colorful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00" w:customStyle="1">
    <w:name w:val="List Table 6 Colorful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01" w:customStyle="1">
    <w:name w:val="List Table 6 Colorful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02">
    <w:name w:val="List Table 7 Colorful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7 Colorful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7 Colorful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ned - Accent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10" w:customStyle="1">
    <w:name w:val="Lined - Accent 1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11" w:customStyle="1">
    <w:name w:val="Lined - Accent 2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12" w:customStyle="1">
    <w:name w:val="Lined - Accent 3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13" w:customStyle="1">
    <w:name w:val="Lined - Accent 4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14" w:customStyle="1">
    <w:name w:val="Lined - Accent 5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15" w:customStyle="1">
    <w:name w:val="Lined - Accent 6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16" w:customStyle="1">
    <w:name w:val="Bordered &amp; Lined - Accent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17" w:customStyle="1">
    <w:name w:val="Bordered &amp; Lined - Accent 1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18" w:customStyle="1">
    <w:name w:val="Bordered &amp; Lined - Accent 2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19" w:customStyle="1">
    <w:name w:val="Bordered &amp; Lined - Accent 3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20" w:customStyle="1">
    <w:name w:val="Bordered &amp; Lined - Accent 4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21" w:customStyle="1">
    <w:name w:val="Bordered &amp; Lined - Accent 5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22" w:customStyle="1">
    <w:name w:val="Bordered &amp; Lined - Accent 6"/>
    <w:basedOn w:val="67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23" w:customStyle="1">
    <w:name w:val="Bordered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24" w:customStyle="1">
    <w:name w:val="Bordered - Accent 1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25" w:customStyle="1">
    <w:name w:val="Bordered - Accent 2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26" w:customStyle="1">
    <w:name w:val="Bordered - Accent 3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27" w:customStyle="1">
    <w:name w:val="Bordered - Accent 4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28" w:customStyle="1">
    <w:name w:val="Bordered - Accent 5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29" w:customStyle="1">
    <w:name w:val="Bordered - Accent 6"/>
    <w:basedOn w:val="67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666"/>
    <w:link w:val="832"/>
    <w:uiPriority w:val="99"/>
    <w:semiHidden/>
    <w:unhideWhenUsed/>
    <w:rPr>
      <w:sz w:val="18"/>
    </w:rPr>
    <w:pPr>
      <w:spacing w:lineRule="auto" w:line="240" w:after="40"/>
    </w:p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76"/>
    <w:uiPriority w:val="99"/>
    <w:unhideWhenUsed/>
    <w:rPr>
      <w:vertAlign w:val="superscript"/>
    </w:rPr>
  </w:style>
  <w:style w:type="paragraph" w:styleId="834">
    <w:name w:val="endnote text"/>
    <w:basedOn w:val="666"/>
    <w:link w:val="835"/>
    <w:uiPriority w:val="99"/>
    <w:semiHidden/>
    <w:unhideWhenUsed/>
    <w:rPr>
      <w:sz w:val="20"/>
    </w:rPr>
    <w:pPr>
      <w:spacing w:lineRule="auto" w:line="240" w:after="0"/>
    </w:p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76"/>
    <w:uiPriority w:val="99"/>
    <w:semiHidden/>
    <w:unhideWhenUsed/>
    <w:rPr>
      <w:vertAlign w:val="superscript"/>
    </w:rPr>
  </w:style>
  <w:style w:type="paragraph" w:styleId="837">
    <w:name w:val="toc 1"/>
    <w:basedOn w:val="666"/>
    <w:next w:val="666"/>
    <w:uiPriority w:val="39"/>
    <w:unhideWhenUsed/>
    <w:pPr>
      <w:spacing w:after="57"/>
    </w:pPr>
  </w:style>
  <w:style w:type="paragraph" w:styleId="838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39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40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41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42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43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44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45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66"/>
    <w:next w:val="666"/>
    <w:uiPriority w:val="99"/>
    <w:unhideWhenUsed/>
    <w:pPr>
      <w:spacing w:after="0"/>
    </w:pPr>
  </w:style>
  <w:style w:type="paragraph" w:styleId="848">
    <w:name w:val="Normal (Web)"/>
    <w:basedOn w:val="666"/>
    <w:qFormat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Autospacing="1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revision>18</cp:revision>
  <dcterms:created xsi:type="dcterms:W3CDTF">2025-12-09T12:32:00Z</dcterms:created>
  <dcterms:modified xsi:type="dcterms:W3CDTF">2025-12-11T06:02:46Z</dcterms:modified>
</cp:coreProperties>
</file>